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5.0 -->
  <w:body>
    <w:p w:rsidR="009B2B87" w14:paraId="6EBE00F3" w14:textId="77777777"/>
    <w:tbl>
      <w:tblPr>
        <w:tblStyle w:val="TableGrid"/>
        <w:tblW w:w="0" w:type="auto"/>
        <w:tblBorders>
          <w:insideH w:val="none" w:sz="0" w:space="0" w:color="auto"/>
          <w:insideV w:val="none" w:sz="0" w:space="0" w:color="auto"/>
        </w:tblBorders>
        <w:tblLook w:val="04A0"/>
      </w:tblPr>
      <w:tblGrid>
        <w:gridCol w:w="9062"/>
      </w:tblGrid>
      <w:tr w14:paraId="521E1AC7" w14:textId="77777777" w:rsidTr="00CB6657">
        <w:tblPrEx>
          <w:tblW w:w="0" w:type="auto"/>
          <w:tblLook w:val="04A0"/>
        </w:tblPrEx>
        <w:tc>
          <w:tcPr>
            <w:tcW w:w="9062" w:type="dxa"/>
            <w:tcBorders>
              <w:top w:val="single" w:sz="4" w:space="0" w:color="auto"/>
              <w:left w:val="single" w:sz="4" w:space="0" w:color="auto"/>
              <w:bottom w:val="single" w:sz="4" w:space="0" w:color="auto"/>
              <w:right w:val="single" w:sz="4" w:space="0" w:color="auto"/>
            </w:tcBorders>
          </w:tcPr>
          <w:p w:rsidR="00751FD8" w:rsidRPr="000A68E8" w:rsidP="000A68E8" w14:paraId="0A3761F1" w14:textId="5BCF9E7C">
            <w:pPr>
              <w:pStyle w:val="Title"/>
            </w:pPr>
            <w:r>
              <w:t xml:space="preserve">besluit </w:t>
            </w:r>
            <w:r w:rsidR="006F5B6E">
              <w:t>Gemeenteraad</w:t>
            </w:r>
          </w:p>
          <w:p w:rsidR="00751FD8" w14:paraId="09B5112D" w14:textId="670CD6D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7087"/>
            </w:tblGrid>
            <w:tr w14:paraId="785323C5" w14:textId="77777777" w:rsidTr="00224C3B">
              <w:tblPrEx>
                <w:tblW w:w="0" w:type="auto"/>
                <w:tblLook w:val="04A0"/>
              </w:tblPrEx>
              <w:tc>
                <w:tcPr>
                  <w:tcW w:w="1560" w:type="dxa"/>
                </w:tcPr>
                <w:p w:rsidR="00321B57" w:rsidP="00321B57" w14:paraId="3E3E9528" w14:textId="32E7F42C">
                  <w:pPr>
                    <w:pStyle w:val="NoSpacing"/>
                  </w:pPr>
                  <w:r>
                    <w:t>Zitting van</w:t>
                  </w:r>
                </w:p>
              </w:tc>
              <w:tc>
                <w:tcPr>
                  <w:tcW w:w="7087" w:type="dxa"/>
                </w:tcPr>
                <w:p w:rsidR="00321B57" w:rsidP="00321B57" w14:paraId="01ECE67E" w14:textId="796457DD">
                  <w:pPr>
                    <w:pStyle w:val="NoSpacing"/>
                  </w:pPr>
                  <w:r w:rsidR="005C0F81">
                    <w:t>16 december 2025</w:t>
                  </w:r>
                </w:p>
              </w:tc>
            </w:tr>
            <w:tr w14:paraId="2F49A77C" w14:textId="77777777" w:rsidTr="00224C3B">
              <w:tblPrEx>
                <w:tblW w:w="0" w:type="auto"/>
                <w:tblLook w:val="04A0"/>
              </w:tblPrEx>
              <w:tc>
                <w:tcPr>
                  <w:tcW w:w="1560" w:type="dxa"/>
                </w:tcPr>
                <w:p w:rsidR="00321B57" w:rsidP="00321B57" w14:paraId="169CCEFB" w14:textId="6BDABC38">
                  <w:pPr>
                    <w:pStyle w:val="NoSpacing"/>
                  </w:pPr>
                  <w:r>
                    <w:t>Team</w:t>
                  </w:r>
                </w:p>
              </w:tc>
              <w:tc>
                <w:tcPr>
                  <w:tcW w:w="7087" w:type="dxa"/>
                </w:tcPr>
                <w:p w:rsidR="00321B57" w:rsidP="00321B57" w14:paraId="18BD3FEA" w14:textId="3971E744">
                  <w:pPr>
                    <w:pStyle w:val="NoSpacing"/>
                  </w:pPr>
                  <w:r>
                    <w:t>Managementteam</w:t>
                  </w:r>
                </w:p>
              </w:tc>
            </w:tr>
            <w:tr w14:paraId="0DD312CE" w14:textId="77777777" w:rsidTr="00224C3B">
              <w:tblPrEx>
                <w:tblW w:w="0" w:type="auto"/>
                <w:tblLook w:val="04A0"/>
              </w:tblPrEx>
              <w:tc>
                <w:tcPr>
                  <w:tcW w:w="1560" w:type="dxa"/>
                </w:tcPr>
                <w:p w:rsidR="00321B57" w:rsidP="00321B57" w14:paraId="28AA6106" w14:textId="0BD93C5D">
                  <w:pPr>
                    <w:pStyle w:val="NoSpacing"/>
                  </w:pPr>
                  <w:r>
                    <w:t>Onderwerp</w:t>
                  </w:r>
                </w:p>
              </w:tc>
              <w:tc>
                <w:tcPr>
                  <w:tcW w:w="7087" w:type="dxa"/>
                </w:tcPr>
                <w:p w:rsidR="00321B57" w:rsidP="00321B57" w14:paraId="2B58EEEF" w14:textId="60B82E5A">
                  <w:pPr>
                    <w:pStyle w:val="NoSpacing"/>
                  </w:pPr>
                  <w:r w:rsidRPr="00907BC7">
                    <w:rPr>
                      <w:b/>
                      <w:bCs/>
                    </w:rPr>
                    <w:t>Aanpassing belastingreglement gemeentelijke opcentiemen onroerende voorheffing</w:t>
                  </w:r>
                </w:p>
              </w:tc>
            </w:tr>
          </w:tbl>
          <w:p w:rsidR="0061278D" w:rsidRPr="00CB6657" w:rsidP="00CB6657" w14:paraId="0260AECA" w14:textId="27A99AF8">
            <w:pPr>
              <w:pStyle w:val="NoSpacing"/>
              <w:rPr>
                <w:b/>
                <w:bCs/>
              </w:rPr>
            </w:pPr>
          </w:p>
        </w:tc>
      </w:tr>
    </w:tbl>
    <w:p w:rsidR="001C7628" w14:paraId="67F62241" w14:textId="372A930A">
      <w:r>
        <w:t xml:space="preserve"> </w:t>
      </w:r>
    </w:p>
    <w:p w:rsidR="00E535F5" w:rsidRPr="005C0F81" w:rsidP="005C0F81" w14:paraId="4A777AB4" w14:textId="562BF763">
      <w:r w:rsidRPr="005B3968">
        <w:rPr>
          <w:b/>
          <w:bCs/>
        </w:rPr>
        <w:t>Aanwezig:</w:t>
      </w:r>
      <w:r>
        <w:t xml:space="preserve"> </w:t>
      </w:r>
      <w:r>
        <w:t>Zelderloo Walter</w:t>
      </w:r>
      <w:r>
        <w:t xml:space="preserve">, </w:t>
      </w:r>
      <w:r>
        <w:t>De Schryver Reindert</w:t>
      </w:r>
      <w:r>
        <w:t xml:space="preserve">, </w:t>
      </w:r>
      <w:r>
        <w:t>Van den Houte Anneleen</w:t>
      </w:r>
      <w:r>
        <w:t xml:space="preserve">, </w:t>
      </w:r>
      <w:r>
        <w:t>Rons Alexis</w:t>
      </w:r>
      <w:r>
        <w:t xml:space="preserve">, </w:t>
      </w:r>
      <w:r>
        <w:t>Roesems Gino</w:t>
      </w:r>
      <w:r>
        <w:t xml:space="preserve">, </w:t>
      </w:r>
      <w:r>
        <w:t>Groenweghe Nele</w:t>
      </w:r>
      <w:r>
        <w:t xml:space="preserve">, </w:t>
      </w:r>
      <w:r>
        <w:t>De Win Harry</w:t>
      </w:r>
      <w:r>
        <w:t xml:space="preserve">, </w:t>
      </w:r>
      <w:r>
        <w:t>De Freyne David</w:t>
      </w:r>
      <w:r>
        <w:t xml:space="preserve">, </w:t>
      </w:r>
      <w:r>
        <w:t>De Jonge Jasper</w:t>
      </w:r>
      <w:r>
        <w:t xml:space="preserve">, </w:t>
      </w:r>
      <w:r>
        <w:t>Vanhee Fré</w:t>
      </w:r>
      <w:r>
        <w:t xml:space="preserve">, </w:t>
      </w:r>
      <w:r>
        <w:t>Walravens Jef</w:t>
      </w:r>
      <w:r>
        <w:t xml:space="preserve">, </w:t>
      </w:r>
      <w:r>
        <w:t>Vanderoost Jef</w:t>
      </w:r>
      <w:r>
        <w:t xml:space="preserve">, </w:t>
      </w:r>
      <w:r>
        <w:t>Nijs Marianne</w:t>
      </w:r>
      <w:r>
        <w:t xml:space="preserve">, </w:t>
      </w:r>
      <w:r>
        <w:t>De Buyst Véronique</w:t>
      </w:r>
      <w:r>
        <w:t xml:space="preserve">, </w:t>
      </w:r>
      <w:r>
        <w:t>Mus Niki</w:t>
      </w:r>
      <w:r>
        <w:t xml:space="preserve">, </w:t>
      </w:r>
      <w:r>
        <w:t>Vergels Driss</w:t>
      </w:r>
      <w:r>
        <w:t xml:space="preserve">, </w:t>
      </w:r>
      <w:r>
        <w:t>Seyns Valérie</w:t>
      </w:r>
      <w:r>
        <w:t xml:space="preserve">, </w:t>
      </w:r>
      <w:r>
        <w:t>Merckx Lean</w:t>
      </w:r>
      <w:r>
        <w:t xml:space="preserve">, </w:t>
      </w:r>
      <w:r>
        <w:t>Liekens Goedele</w:t>
      </w:r>
      <w:r>
        <w:t xml:space="preserve">, </w:t>
      </w:r>
      <w:r>
        <w:t>Deleu Tinneke</w:t>
      </w:r>
      <w:r>
        <w:t xml:space="preserve">, </w:t>
      </w:r>
      <w:r>
        <w:t>Nevens Bart</w:t>
      </w:r>
      <w:r>
        <w:t xml:space="preserve">, </w:t>
      </w:r>
      <w:r>
        <w:t>Janssens Linda</w:t>
      </w:r>
      <w:r>
        <w:t xml:space="preserve">, </w:t>
      </w:r>
      <w:r>
        <w:t>Clement Louis</w:t>
      </w:r>
      <w:r>
        <w:t xml:space="preserve">, </w:t>
      </w:r>
      <w:r>
        <w:t>hoffmans Nathalie</w:t>
      </w:r>
      <w:r>
        <w:t xml:space="preserve">, </w:t>
      </w:r>
      <w:r>
        <w:t>De Ridder Dries</w:t>
      </w:r>
      <w:r>
        <w:t xml:space="preserve">, </w:t>
      </w:r>
      <w:r>
        <w:t>Gins Brigitte</w:t>
      </w:r>
      <w:r>
        <w:t xml:space="preserve">, </w:t>
      </w:r>
      <w:r>
        <w:t>Valtin Katleen</w:t>
      </w:r>
      <w:r>
        <w:t xml:space="preserve">, </w:t>
      </w:r>
      <w:r>
        <w:t>Quaghebeur Stijn</w:t>
      </w:r>
      <w:r>
        <w:t xml:space="preserve">, </w:t>
      </w:r>
      <w:r>
        <w:t>Vereecke Liesbet</w:t>
      </w:r>
      <w:r>
        <w:t xml:space="preserve">, </w:t>
      </w:r>
      <w:r>
        <w:t>De Dobbeleer Frank</w:t>
      </w:r>
      <w:r>
        <w:t xml:space="preserve">, </w:t>
      </w:r>
      <w:r>
        <w:t>Willen Marc</w:t>
      </w:r>
      <w:r>
        <w:t xml:space="preserve">, </w:t>
      </w:r>
      <w:r>
        <w:t>Erkelbout Jan</w:t>
      </w:r>
      <w:r>
        <w:t xml:space="preserve">, </w:t>
      </w:r>
      <w:r>
        <w:t>Van Hove Diane</w:t>
      </w:r>
    </w:p>
    <w:p w:rsidR="00E535F5" w:rsidRPr="00CF488B" w:rsidP="001A0749" w14:paraId="76DAF697" w14:textId="77777777">
      <w:pPr>
        <w:spacing w:before="360" w:line="276" w:lineRule="auto"/>
        <w:rPr>
          <w:b/>
          <w:sz w:val="22"/>
        </w:rPr>
      </w:pPr>
      <w:r w:rsidRPr="00CF488B">
        <w:rPr>
          <w:b/>
          <w:sz w:val="22"/>
        </w:rPr>
        <w:t>Toelichting</w:t>
      </w:r>
    </w:p>
    <w:p w:rsidR="00A77B3E">
      <w:pPr>
        <w:rPr>
          <w:lang w:val="nl-BE" w:eastAsia="nl-BE"/>
        </w:rPr>
      </w:pPr>
      <w:r>
        <w:rPr>
          <w:lang w:val="nl-BE" w:eastAsia="nl-BE"/>
        </w:rPr>
        <w:t xml:space="preserve">Bij de opmaak van de meerjarenplanning 2026-2031 werd duidelijk dat er veel uitdagingen liggen binnen Groep Dilbeek om de komende jaren op in te zetten. Al deze uitdagingen werden opgenomen in het MJP 2026-2031. </w:t>
      </w:r>
    </w:p>
    <w:p w:rsidR="00A77B3E">
      <w:pPr>
        <w:rPr>
          <w:lang w:val="nl-BE" w:eastAsia="nl-BE"/>
        </w:rPr>
      </w:pPr>
      <w:r>
        <w:rPr>
          <w:lang w:val="nl-BE" w:eastAsia="nl-BE"/>
        </w:rPr>
        <w:t xml:space="preserve">Om al deze uitdagingen te realiseren, dienden ook langs ontvangstenzijde enkele beslissingen genomen te worden. Vooral de federale ingrepen in de personenbelasting veroorzaken een grote terugval in de ontvangsten. Om het federale beleid dat inzet op belonen van werk, niet te ondermijnen wordt om het inkomstenverlies gedeeltelijk op te vangen een aanpassing van de opcentiemen op de onroerende voorheffing voorzien en wordt de differentiatie tussen gezinnen en bedrijven opgetrokken. </w:t>
      </w:r>
    </w:p>
    <w:p w:rsidR="00A77B3E">
      <w:pPr>
        <w:rPr>
          <w:lang w:val="nl-BE" w:eastAsia="nl-BE"/>
        </w:rPr>
      </w:pPr>
      <w:r>
        <w:rPr>
          <w:lang w:val="nl-BE" w:eastAsia="nl-BE"/>
        </w:rPr>
        <w:t>·        Ook bedrijven/industrie maken gebruik van verschillende publieke voorzieningen of hebben baat bij verschillende beleidsplannen zoals (de uitvoering van) een mobiliteitsplan,  een goede wegeninfrastructuur, een ondersteunend beleid voor de lokale handel en bedrijvigheid,… ;</w:t>
      </w:r>
    </w:p>
    <w:p w:rsidR="00A77B3E">
      <w:pPr>
        <w:rPr>
          <w:lang w:val="nl-BE" w:eastAsia="nl-BE"/>
        </w:rPr>
      </w:pPr>
      <w:r>
        <w:rPr>
          <w:lang w:val="nl-BE" w:eastAsia="nl-BE"/>
        </w:rPr>
        <w:t>·        Specifieke acties en nieuwe initiatieven rond ondersteuning bedrijvigheid zijn opgenomen in de meerjarenplanning (zie acties rond ruimtelijke planning)</w:t>
      </w:r>
    </w:p>
    <w:p w:rsidR="00A77B3E">
      <w:pPr>
        <w:rPr>
          <w:lang w:val="nl-BE" w:eastAsia="nl-BE"/>
        </w:rPr>
      </w:pPr>
      <w:r>
        <w:rPr>
          <w:lang w:val="nl-BE" w:eastAsia="nl-BE"/>
        </w:rPr>
        <w:t>·        Ook de voorzieningen inzake veiligheid (politie en hulpverleningszone/brandweer) worden naar verhouding minder mee gefinancierd vanuit de bedrijven, toch wordt bijvoorbeeld onze factuur van de hulpverleningszone (verdeelsleutel) rechtstreeks geïmpacteerd door de aanwezige bedrijvigheid</w:t>
      </w:r>
    </w:p>
    <w:p w:rsidR="00A77B3E">
      <w:pPr>
        <w:rPr>
          <w:lang w:val="nl-BE" w:eastAsia="nl-BE"/>
        </w:rPr>
      </w:pPr>
      <w:r>
        <w:rPr>
          <w:lang w:val="nl-BE" w:eastAsia="nl-BE"/>
        </w:rPr>
        <w:t xml:space="preserve">·        De lokale bedrijven dragen vandaag – in verhouding tot bijvoorbeeld de gezinnen – veel minder bij in de investeringen van het lokale bestuur aangezien ze enkel bijdragen in de algemene financiering via de opcentiemen op de onroerende voorheffing. Dilbeek heeft geen andere bedrijfsbelastingen die bij veel andere lokale besturen nog gangbaar zijn. </w:t>
      </w:r>
    </w:p>
    <w:p w:rsidR="00A77B3E">
      <w:pPr>
        <w:rPr>
          <w:lang w:val="nl-BE" w:eastAsia="nl-BE"/>
        </w:rPr>
      </w:pPr>
      <w:r>
        <w:rPr>
          <w:lang w:val="nl-BE" w:eastAsia="nl-BE"/>
        </w:rPr>
        <w:t>·        Zelfs na de beoogde verhoging of aanpassing van de belasting, blijft Dilbeek een belasting- en bedrijfsvriendelijk lokaal bestuur.</w:t>
      </w:r>
    </w:p>
    <w:p w:rsidR="00A77B3E">
      <w:pPr>
        <w:rPr>
          <w:lang w:val="nl-BE" w:eastAsia="nl-BE"/>
        </w:rPr>
      </w:pPr>
      <w:r>
        <w:rPr>
          <w:lang w:val="nl-BE" w:eastAsia="nl-BE"/>
        </w:rPr>
        <w:t xml:space="preserve">Er wordt niet geopteerd voor het invoeren van andere nieuwe gemeentebelastingen. De onroerende voorheffing wordt door de Vlaamse Belastingdienst geïnd. De inkohiering, vaststelling en inning kan plaatsvinden via een sterk geautomatiseerd proces. Ook het aandeel van de gemeentelijke opcentiemen wordt via deze weg mee geïnd en de geïnde bedragen worden (via een voorschottensysteem) doorgestort aan de gemeenten (waardoor de doorstortingen voor 95% zeker zijn qua bedrag en timing). </w:t>
      </w:r>
    </w:p>
    <w:p w:rsidR="00A77B3E">
      <w:pPr>
        <w:rPr>
          <w:lang w:val="nl-BE" w:eastAsia="nl-BE"/>
        </w:rPr>
      </w:pPr>
      <w:r>
        <w:rPr>
          <w:lang w:val="nl-BE" w:eastAsia="nl-BE"/>
        </w:rPr>
        <w:t xml:space="preserve">Ook bezwaren worden door de Vlaamse Belastingdienst behandeld. </w:t>
      </w:r>
    </w:p>
    <w:p w:rsidR="00A77B3E">
      <w:pPr>
        <w:rPr>
          <w:lang w:val="nl-BE" w:eastAsia="nl-BE"/>
        </w:rPr>
      </w:pPr>
      <w:r>
        <w:rPr>
          <w:lang w:val="nl-BE" w:eastAsia="nl-BE"/>
        </w:rPr>
        <w:t xml:space="preserve">Dit zijn allemaal voordelen die er bij een eigen gemeentelijke belasting niet zijn. De gemeentelijke administratie zou extra medewerkers moeten aanwerven voor het vaststellen, innen en behandelen van de bezwaren van een belasting. </w:t>
      </w:r>
    </w:p>
    <w:p w:rsidR="00A77B3E">
      <w:pPr>
        <w:rPr>
          <w:lang w:val="nl-BE" w:eastAsia="nl-BE"/>
        </w:rPr>
      </w:pPr>
      <w:r>
        <w:rPr>
          <w:lang w:val="nl-BE" w:eastAsia="nl-BE"/>
        </w:rPr>
        <w:t xml:space="preserve">Ook voor de bedrijven of gezinnen veroorzaken gemeentelijke belastingen administratieve lasten. Eigen belastingen gaan meestal gepaard met jaarlijkse aangiften, aparte aanslagbiljetten, betalingsverwerkingen en eventuele bezwaarprocedures. </w:t>
      </w:r>
    </w:p>
    <w:p w:rsidR="00A77B3E">
      <w:pPr>
        <w:rPr>
          <w:lang w:val="nl-BE" w:eastAsia="nl-BE"/>
        </w:rPr>
      </w:pPr>
      <w:r>
        <w:rPr>
          <w:lang w:val="nl-BE" w:eastAsia="nl-BE"/>
        </w:rPr>
        <w:t xml:space="preserve">De beoogde differentiatie zal, na vaststelling van dit reglement,  310 opcentiemen bedragen, waardoor het tarief voor de kadastrale inkomens nijverheid en materieel en outillage 1100 opcentiemen zal bedragen. De andere kadastrale inkomens worden belast aan 790 gemeentelijke opcentiemen, wat een verhoging is van 50 opcentiemen. </w:t>
      </w:r>
      <w:r>
        <w:rPr>
          <w:lang w:val="nl-BE" w:eastAsia="nl-BE"/>
        </w:rPr>
        <w:br/>
      </w:r>
      <w:r>
        <w:rPr>
          <w:lang w:val="nl-BE" w:eastAsia="nl-BE"/>
        </w:rPr>
        <w:t> </w:t>
      </w:r>
    </w:p>
    <w:p w:rsidR="00E535F5" w:rsidRPr="00CF488B" w:rsidP="00E535F5" w14:paraId="129799EE" w14:textId="77777777">
      <w:pPr>
        <w:spacing w:before="240" w:line="276" w:lineRule="auto"/>
        <w:rPr>
          <w:b/>
          <w:sz w:val="22"/>
        </w:rPr>
      </w:pPr>
      <w:r w:rsidRPr="00CF488B">
        <w:rPr>
          <w:b/>
          <w:sz w:val="22"/>
        </w:rPr>
        <w:t>Juridisch kader</w:t>
      </w:r>
    </w:p>
    <w:p w:rsidR="00A77B3E">
      <w:pPr>
        <w:rPr>
          <w:lang w:val="nl-BE" w:eastAsia="nl-BE"/>
        </w:rPr>
      </w:pPr>
      <w:r>
        <w:rPr>
          <w:lang w:val="nl-BE" w:eastAsia="nl-BE"/>
        </w:rPr>
        <w:t>​</w:t>
      </w:r>
    </w:p>
    <w:p w:rsidR="00A77B3E">
      <w:pPr>
        <w:numPr>
          <w:ilvl w:val="0"/>
          <w:numId w:val="1"/>
        </w:numPr>
        <w:ind w:left="720" w:hanging="360"/>
        <w:jc w:val="left"/>
        <w:rPr>
          <w:lang w:val="nl-BE" w:eastAsia="nl-BE"/>
        </w:rPr>
      </w:pPr>
      <w:r>
        <w:rPr>
          <w:lang w:val="nl-BE" w:eastAsia="nl-BE"/>
        </w:rPr>
        <w:t>De Grondwet, meer bepaald artikelen 41, 162 en 170, § 4</w:t>
      </w:r>
    </w:p>
    <w:p w:rsidR="00A77B3E">
      <w:pPr>
        <w:numPr>
          <w:ilvl w:val="0"/>
          <w:numId w:val="1"/>
        </w:numPr>
        <w:ind w:left="720" w:hanging="360"/>
        <w:jc w:val="left"/>
        <w:rPr>
          <w:lang w:val="nl-BE" w:eastAsia="nl-BE"/>
        </w:rPr>
      </w:pPr>
      <w:r>
        <w:rPr>
          <w:lang w:val="nl-BE" w:eastAsia="nl-BE"/>
        </w:rPr>
        <w:t>Het Wetboek van de inkomstenbelastingen van 10 april 1992, meer bepaald artikelen 298 en 464/1, 1°;</w:t>
      </w:r>
    </w:p>
    <w:p w:rsidR="00A77B3E">
      <w:pPr>
        <w:numPr>
          <w:ilvl w:val="0"/>
          <w:numId w:val="1"/>
        </w:numPr>
        <w:ind w:left="720" w:hanging="360"/>
        <w:jc w:val="left"/>
        <w:rPr>
          <w:lang w:val="nl-BE" w:eastAsia="nl-BE"/>
        </w:rPr>
      </w:pPr>
      <w:r>
        <w:rPr>
          <w:lang w:val="nl-BE" w:eastAsia="nl-BE"/>
        </w:rPr>
        <w:t>​Het Wetboek van de minnelijke en gedwongen invordering van fiscale en niet- fiscale schuldvorderingen van 13 april 2019</w:t>
      </w:r>
    </w:p>
    <w:p w:rsidR="00A77B3E">
      <w:pPr>
        <w:numPr>
          <w:ilvl w:val="0"/>
          <w:numId w:val="1"/>
        </w:numPr>
        <w:ind w:left="720" w:hanging="360"/>
        <w:jc w:val="left"/>
        <w:rPr>
          <w:lang w:val="nl-BE" w:eastAsia="nl-BE"/>
        </w:rPr>
      </w:pPr>
      <w:r>
        <w:rPr>
          <w:lang w:val="nl-BE" w:eastAsia="nl-BE"/>
        </w:rPr>
        <w:t>Decreet van 30 mei 2008 betreffende de vestiging, de invordering en de geschillenprocedure van provincie- en gemeentebelastingen, en latere wijzigingen;</w:t>
      </w:r>
    </w:p>
    <w:p w:rsidR="00A77B3E">
      <w:pPr>
        <w:numPr>
          <w:ilvl w:val="0"/>
          <w:numId w:val="1"/>
        </w:numPr>
        <w:ind w:left="720" w:hanging="360"/>
        <w:jc w:val="left"/>
        <w:rPr>
          <w:lang w:val="nl-BE" w:eastAsia="nl-BE"/>
        </w:rPr>
      </w:pPr>
      <w:r>
        <w:rPr>
          <w:lang w:val="nl-BE" w:eastAsia="nl-BE"/>
        </w:rPr>
        <w:t>​Het Decreet van 13 december 2013 houdende de Vlaamse Codex Fiscaliteit, meer bepaald artikelen 2.1.4.0.2 en 3.1.0.0.4;</w:t>
      </w:r>
    </w:p>
    <w:p w:rsidR="00A77B3E">
      <w:pPr>
        <w:numPr>
          <w:ilvl w:val="0"/>
          <w:numId w:val="1"/>
        </w:numPr>
        <w:ind w:left="720" w:hanging="360"/>
        <w:jc w:val="left"/>
        <w:rPr>
          <w:lang w:val="nl-BE" w:eastAsia="nl-BE"/>
        </w:rPr>
      </w:pPr>
      <w:r>
        <w:rPr>
          <w:lang w:val="nl-BE" w:eastAsia="nl-BE"/>
        </w:rPr>
        <w:t>Het Besluit Vlaamse Codex Fiscaliteit, meer bepaald artikel 3.1.0.0.6;</w:t>
      </w:r>
    </w:p>
    <w:p w:rsidR="00A77B3E">
      <w:pPr>
        <w:numPr>
          <w:ilvl w:val="0"/>
          <w:numId w:val="1"/>
        </w:numPr>
        <w:ind w:left="720" w:hanging="360"/>
        <w:jc w:val="left"/>
        <w:rPr>
          <w:lang w:val="nl-BE" w:eastAsia="nl-BE"/>
        </w:rPr>
      </w:pPr>
      <w:r>
        <w:rPr>
          <w:lang w:val="nl-BE" w:eastAsia="nl-BE"/>
        </w:rPr>
        <w:t>​Het Decreet over het Lokaal Bestuur van 22 december 2017</w:t>
      </w:r>
    </w:p>
    <w:p w:rsidR="00A77B3E">
      <w:pPr>
        <w:numPr>
          <w:ilvl w:val="0"/>
          <w:numId w:val="1"/>
        </w:numPr>
        <w:ind w:left="720" w:hanging="360"/>
        <w:jc w:val="left"/>
        <w:rPr>
          <w:lang w:val="nl-BE" w:eastAsia="nl-BE"/>
        </w:rPr>
      </w:pPr>
      <w:r>
        <w:rPr>
          <w:lang w:val="nl-BE" w:eastAsia="nl-BE"/>
        </w:rPr>
        <w:t>​Het Besluit van de Vlaamse Regering van 20 april 2018 betreffende de bekendmaking en raadpleegbaarheid van besluiten en stukken van het lokaal bestuur, betreffende de wijze waarop de reglementen en verordeningen van het lokaal bestuur worden bijgehouden in het register en betreffende de raadpleegbaarheid van de besluiten van de politiezones en hulpverleningszones;</w:t>
      </w:r>
    </w:p>
    <w:p w:rsidR="00A77B3E">
      <w:pPr>
        <w:numPr>
          <w:ilvl w:val="0"/>
          <w:numId w:val="1"/>
        </w:numPr>
        <w:ind w:left="720" w:hanging="360"/>
        <w:jc w:val="left"/>
        <w:rPr>
          <w:lang w:val="nl-BE" w:eastAsia="nl-BE"/>
        </w:rPr>
      </w:pPr>
      <w:r>
        <w:rPr>
          <w:lang w:val="nl-BE" w:eastAsia="nl-BE"/>
        </w:rPr>
        <w:t>​De Omzendbrief KB/ABB 2019/2 betreffende de gemeentefiscaliteit van 15 februari 2019;</w:t>
      </w:r>
    </w:p>
    <w:p w:rsidR="00A77B3E">
      <w:pPr>
        <w:numPr>
          <w:ilvl w:val="0"/>
          <w:numId w:val="1"/>
        </w:numPr>
        <w:ind w:left="720" w:hanging="360"/>
        <w:jc w:val="left"/>
        <w:rPr>
          <w:lang w:val="nl-BE" w:eastAsia="nl-BE"/>
        </w:rPr>
      </w:pPr>
      <w:r>
        <w:rPr>
          <w:lang w:val="nl-BE" w:eastAsia="nl-BE"/>
        </w:rPr>
        <w:t>Het positief advies van de Vlaamse belastingdienst  van 8 december 2021 omtrent onze differentiatie</w:t>
      </w:r>
    </w:p>
    <w:p w:rsidR="00A77B3E">
      <w:pPr>
        <w:numPr>
          <w:ilvl w:val="0"/>
          <w:numId w:val="1"/>
        </w:numPr>
        <w:ind w:left="720" w:hanging="360"/>
        <w:jc w:val="left"/>
        <w:rPr>
          <w:lang w:val="nl-BE" w:eastAsia="nl-BE"/>
        </w:rPr>
      </w:pPr>
      <w:r>
        <w:rPr>
          <w:lang w:val="nl-BE" w:eastAsia="nl-BE"/>
        </w:rPr>
        <w:t>De motiveringsnota tot invoering van een bedrijfsbelasting via de differentiatie van de opcentiemen op de onroerende voorheffing opgemaakt bij de start van de differentiatie op de opcentiemen van de onroerende voorheffing in Dilbeek in 2021</w:t>
      </w:r>
    </w:p>
    <w:p w:rsidR="00A77B3E">
      <w:pPr>
        <w:numPr>
          <w:ilvl w:val="0"/>
          <w:numId w:val="1"/>
        </w:numPr>
        <w:ind w:left="720" w:hanging="360"/>
        <w:jc w:val="left"/>
        <w:rPr>
          <w:lang w:val="nl-BE" w:eastAsia="nl-BE"/>
        </w:rPr>
      </w:pPr>
      <w:r>
        <w:rPr>
          <w:lang w:val="nl-BE" w:eastAsia="nl-BE"/>
        </w:rPr>
        <w:t>De (voorgelegde) gemeenteraadsbeslissing van 16 december 2025 houdende de vaststelling van de meerjarenplanning 2026-2031</w:t>
      </w:r>
    </w:p>
    <w:p w:rsidR="00AC25A8" w:rsidP="00AC25A8" w14:paraId="397B387F" w14:textId="77777777">
      <w:pPr>
        <w:spacing w:before="240" w:line="276" w:lineRule="auto"/>
        <w:rPr>
          <w:b/>
          <w:sz w:val="22"/>
        </w:rPr>
      </w:pPr>
      <w:r w:rsidRPr="00CF488B">
        <w:rPr>
          <w:b/>
          <w:sz w:val="22"/>
        </w:rPr>
        <w:t xml:space="preserve">Beslissing </w:t>
      </w:r>
    </w:p>
    <w:p w:rsidR="00AC25A8" w:rsidRPr="00CC5055" w:rsidP="00AC25A8" w14:paraId="47331FE7" w14:textId="77777777">
      <w:pPr>
        <w:spacing w:before="120" w:line="276" w:lineRule="auto"/>
        <w:rPr>
          <w:b/>
          <w:sz w:val="18"/>
          <w:szCs w:val="20"/>
        </w:rPr>
      </w:pPr>
      <w:r w:rsidRPr="00CC5055">
        <w:rPr>
          <w:b/>
          <w:sz w:val="18"/>
          <w:szCs w:val="20"/>
        </w:rPr>
        <w:t>stemming</w:t>
      </w:r>
    </w:p>
    <w:p w:rsidR="00AC25A8" w:rsidRPr="009F2FEA" w:rsidP="00AC25A8" w14:paraId="0F5BAA80" w14:textId="77777777">
      <w:pPr>
        <w:spacing w:line="276" w:lineRule="auto"/>
        <w:rPr>
          <w:bCs/>
          <w:sz w:val="18"/>
          <w:szCs w:val="20"/>
          <w:lang w:val="en-US"/>
        </w:rPr>
      </w:pPr>
      <w:r w:rsidRPr="009F2FEA">
        <w:rPr>
          <w:bCs/>
          <w:sz w:val="18"/>
          <w:szCs w:val="20"/>
          <w:lang w:val="en-US"/>
        </w:rPr>
        <w:t>18</w:t>
      </w:r>
      <w:r w:rsidRPr="009F2FEA">
        <w:rPr>
          <w:bCs/>
          <w:sz w:val="18"/>
          <w:szCs w:val="20"/>
          <w:lang w:val="en-US"/>
        </w:rPr>
        <w:t xml:space="preserve"> ja: </w:t>
      </w:r>
      <w:r w:rsidRPr="009F2FEA">
        <w:rPr>
          <w:bCs/>
          <w:sz w:val="18"/>
          <w:szCs w:val="20"/>
          <w:lang w:val="en-US"/>
        </w:rPr>
        <w:t>Nevens Bart</w:t>
      </w:r>
      <w:r w:rsidRPr="009F2FEA">
        <w:rPr>
          <w:bCs/>
          <w:sz w:val="18"/>
          <w:szCs w:val="20"/>
          <w:lang w:val="en-US"/>
        </w:rPr>
        <w:t xml:space="preserve">, </w:t>
      </w:r>
      <w:r w:rsidRPr="009F2FEA">
        <w:rPr>
          <w:bCs/>
          <w:sz w:val="18"/>
          <w:szCs w:val="20"/>
          <w:lang w:val="en-US"/>
        </w:rPr>
        <w:t>De Ridder Dries</w:t>
      </w:r>
      <w:r w:rsidRPr="009F2FEA">
        <w:rPr>
          <w:bCs/>
          <w:sz w:val="18"/>
          <w:szCs w:val="20"/>
          <w:lang w:val="en-US"/>
        </w:rPr>
        <w:t xml:space="preserve">, </w:t>
      </w:r>
      <w:r w:rsidRPr="009F2FEA">
        <w:rPr>
          <w:bCs/>
          <w:sz w:val="18"/>
          <w:szCs w:val="20"/>
          <w:lang w:val="en-US"/>
        </w:rPr>
        <w:t>Liekens Goedele</w:t>
      </w:r>
      <w:r w:rsidRPr="009F2FEA">
        <w:rPr>
          <w:bCs/>
          <w:sz w:val="18"/>
          <w:szCs w:val="20"/>
          <w:lang w:val="en-US"/>
        </w:rPr>
        <w:t xml:space="preserve">, </w:t>
      </w:r>
      <w:r w:rsidRPr="009F2FEA">
        <w:rPr>
          <w:bCs/>
          <w:sz w:val="18"/>
          <w:szCs w:val="20"/>
          <w:lang w:val="en-US"/>
        </w:rPr>
        <w:t>Quaghebeur Stijn</w:t>
      </w:r>
      <w:r w:rsidRPr="009F2FEA">
        <w:rPr>
          <w:bCs/>
          <w:sz w:val="18"/>
          <w:szCs w:val="20"/>
          <w:lang w:val="en-US"/>
        </w:rPr>
        <w:t xml:space="preserve">, </w:t>
      </w:r>
      <w:r w:rsidRPr="009F2FEA">
        <w:rPr>
          <w:bCs/>
          <w:sz w:val="18"/>
          <w:szCs w:val="20"/>
          <w:lang w:val="en-US"/>
        </w:rPr>
        <w:t>Deleu Tinneke</w:t>
      </w:r>
      <w:r w:rsidRPr="009F2FEA">
        <w:rPr>
          <w:bCs/>
          <w:sz w:val="18"/>
          <w:szCs w:val="20"/>
          <w:lang w:val="en-US"/>
        </w:rPr>
        <w:t xml:space="preserve">, </w:t>
      </w:r>
      <w:r w:rsidRPr="009F2FEA">
        <w:rPr>
          <w:bCs/>
          <w:sz w:val="18"/>
          <w:szCs w:val="20"/>
          <w:lang w:val="en-US"/>
        </w:rPr>
        <w:t>Erkelbout Jan</w:t>
      </w:r>
      <w:r w:rsidRPr="009F2FEA">
        <w:rPr>
          <w:bCs/>
          <w:sz w:val="18"/>
          <w:szCs w:val="20"/>
          <w:lang w:val="en-US"/>
        </w:rPr>
        <w:t xml:space="preserve">, </w:t>
      </w:r>
      <w:r w:rsidRPr="009F2FEA">
        <w:rPr>
          <w:bCs/>
          <w:sz w:val="18"/>
          <w:szCs w:val="20"/>
          <w:lang w:val="en-US"/>
        </w:rPr>
        <w:t>Van den Houte Anneleen</w:t>
      </w:r>
      <w:r w:rsidRPr="009F2FEA">
        <w:rPr>
          <w:bCs/>
          <w:sz w:val="18"/>
          <w:szCs w:val="20"/>
          <w:lang w:val="en-US"/>
        </w:rPr>
        <w:t xml:space="preserve">, </w:t>
      </w:r>
      <w:r w:rsidRPr="009F2FEA">
        <w:rPr>
          <w:bCs/>
          <w:sz w:val="18"/>
          <w:szCs w:val="20"/>
          <w:lang w:val="en-US"/>
        </w:rPr>
        <w:t>Willen Marc</w:t>
      </w:r>
      <w:r w:rsidRPr="009F2FEA">
        <w:rPr>
          <w:bCs/>
          <w:sz w:val="18"/>
          <w:szCs w:val="20"/>
          <w:lang w:val="en-US"/>
        </w:rPr>
        <w:t xml:space="preserve">, </w:t>
      </w:r>
      <w:r w:rsidRPr="009F2FEA">
        <w:rPr>
          <w:bCs/>
          <w:sz w:val="18"/>
          <w:szCs w:val="20"/>
          <w:lang w:val="en-US"/>
        </w:rPr>
        <w:t>Zelderloo Walter</w:t>
      </w:r>
      <w:r w:rsidRPr="009F2FEA">
        <w:rPr>
          <w:bCs/>
          <w:sz w:val="18"/>
          <w:szCs w:val="20"/>
          <w:lang w:val="en-US"/>
        </w:rPr>
        <w:t xml:space="preserve">, </w:t>
      </w:r>
      <w:r w:rsidRPr="009F2FEA">
        <w:rPr>
          <w:bCs/>
          <w:sz w:val="18"/>
          <w:szCs w:val="20"/>
          <w:lang w:val="en-US"/>
        </w:rPr>
        <w:t>De Dobbeleer Frank</w:t>
      </w:r>
      <w:r w:rsidRPr="009F2FEA">
        <w:rPr>
          <w:bCs/>
          <w:sz w:val="18"/>
          <w:szCs w:val="20"/>
          <w:lang w:val="en-US"/>
        </w:rPr>
        <w:t xml:space="preserve">, </w:t>
      </w:r>
      <w:r w:rsidRPr="009F2FEA">
        <w:rPr>
          <w:bCs/>
          <w:sz w:val="18"/>
          <w:szCs w:val="20"/>
          <w:lang w:val="en-US"/>
        </w:rPr>
        <w:t>Vanhee Fré</w:t>
      </w:r>
      <w:r w:rsidRPr="009F2FEA">
        <w:rPr>
          <w:bCs/>
          <w:sz w:val="18"/>
          <w:szCs w:val="20"/>
          <w:lang w:val="en-US"/>
        </w:rPr>
        <w:t xml:space="preserve">, </w:t>
      </w:r>
      <w:r w:rsidRPr="009F2FEA">
        <w:rPr>
          <w:bCs/>
          <w:sz w:val="18"/>
          <w:szCs w:val="20"/>
          <w:lang w:val="en-US"/>
        </w:rPr>
        <w:t>De Buyst Véronique</w:t>
      </w:r>
      <w:r w:rsidRPr="009F2FEA">
        <w:rPr>
          <w:bCs/>
          <w:sz w:val="18"/>
          <w:szCs w:val="20"/>
          <w:lang w:val="en-US"/>
        </w:rPr>
        <w:t xml:space="preserve">, </w:t>
      </w:r>
      <w:r w:rsidRPr="009F2FEA">
        <w:rPr>
          <w:bCs/>
          <w:sz w:val="18"/>
          <w:szCs w:val="20"/>
          <w:lang w:val="en-US"/>
        </w:rPr>
        <w:t>Gins Brigitte</w:t>
      </w:r>
      <w:r w:rsidRPr="009F2FEA">
        <w:rPr>
          <w:bCs/>
          <w:sz w:val="18"/>
          <w:szCs w:val="20"/>
          <w:lang w:val="en-US"/>
        </w:rPr>
        <w:t xml:space="preserve">, </w:t>
      </w:r>
      <w:r w:rsidRPr="009F2FEA">
        <w:rPr>
          <w:bCs/>
          <w:sz w:val="18"/>
          <w:szCs w:val="20"/>
          <w:lang w:val="en-US"/>
        </w:rPr>
        <w:t>Janssens Linda</w:t>
      </w:r>
      <w:r w:rsidRPr="009F2FEA">
        <w:rPr>
          <w:bCs/>
          <w:sz w:val="18"/>
          <w:szCs w:val="20"/>
          <w:lang w:val="en-US"/>
        </w:rPr>
        <w:t xml:space="preserve">, </w:t>
      </w:r>
      <w:r w:rsidRPr="009F2FEA">
        <w:rPr>
          <w:bCs/>
          <w:sz w:val="18"/>
          <w:szCs w:val="20"/>
          <w:lang w:val="en-US"/>
        </w:rPr>
        <w:t>Walravens Jef</w:t>
      </w:r>
      <w:r w:rsidRPr="009F2FEA">
        <w:rPr>
          <w:bCs/>
          <w:sz w:val="18"/>
          <w:szCs w:val="20"/>
          <w:lang w:val="en-US"/>
        </w:rPr>
        <w:t xml:space="preserve">, </w:t>
      </w:r>
      <w:r w:rsidRPr="009F2FEA">
        <w:rPr>
          <w:bCs/>
          <w:sz w:val="18"/>
          <w:szCs w:val="20"/>
          <w:lang w:val="en-US"/>
        </w:rPr>
        <w:t>Rons Alexis</w:t>
      </w:r>
      <w:r w:rsidRPr="009F2FEA">
        <w:rPr>
          <w:bCs/>
          <w:sz w:val="18"/>
          <w:szCs w:val="20"/>
          <w:lang w:val="en-US"/>
        </w:rPr>
        <w:t xml:space="preserve">, </w:t>
      </w:r>
      <w:r w:rsidRPr="009F2FEA">
        <w:rPr>
          <w:bCs/>
          <w:sz w:val="18"/>
          <w:szCs w:val="20"/>
          <w:lang w:val="en-US"/>
        </w:rPr>
        <w:t>De Win Harry</w:t>
      </w:r>
      <w:r w:rsidRPr="009F2FEA">
        <w:rPr>
          <w:bCs/>
          <w:sz w:val="18"/>
          <w:szCs w:val="20"/>
          <w:lang w:val="en-US"/>
        </w:rPr>
        <w:t xml:space="preserve">, </w:t>
      </w:r>
      <w:r w:rsidRPr="009F2FEA">
        <w:rPr>
          <w:bCs/>
          <w:sz w:val="18"/>
          <w:szCs w:val="20"/>
          <w:lang w:val="en-US"/>
        </w:rPr>
        <w:t>De Freyne David</w:t>
      </w:r>
      <w:r w:rsidRPr="009F2FEA">
        <w:rPr>
          <w:bCs/>
          <w:sz w:val="18"/>
          <w:szCs w:val="20"/>
          <w:lang w:val="en-US"/>
        </w:rPr>
        <w:t xml:space="preserve">, </w:t>
      </w:r>
    </w:p>
    <w:p w:rsidR="00AC25A8" w:rsidRPr="009F2FEA" w:rsidP="00AC25A8" w14:paraId="4AA8B236" w14:textId="77777777">
      <w:pPr>
        <w:spacing w:line="276" w:lineRule="auto"/>
        <w:rPr>
          <w:bCs/>
          <w:sz w:val="18"/>
          <w:szCs w:val="20"/>
          <w:lang w:val="en-US"/>
        </w:rPr>
      </w:pPr>
      <w:r w:rsidRPr="009F2FEA">
        <w:rPr>
          <w:bCs/>
          <w:sz w:val="18"/>
          <w:szCs w:val="20"/>
          <w:lang w:val="en-US"/>
        </w:rPr>
        <w:t>3</w:t>
      </w:r>
      <w:r w:rsidRPr="009F2FEA">
        <w:rPr>
          <w:bCs/>
          <w:sz w:val="18"/>
          <w:szCs w:val="20"/>
          <w:lang w:val="en-US"/>
        </w:rPr>
        <w:t xml:space="preserve"> nee: </w:t>
      </w:r>
      <w:r w:rsidRPr="009F2FEA">
        <w:rPr>
          <w:bCs/>
          <w:sz w:val="18"/>
          <w:szCs w:val="20"/>
          <w:lang w:val="en-US"/>
        </w:rPr>
        <w:t>Seyns Valérie</w:t>
      </w:r>
      <w:r w:rsidRPr="009F2FEA">
        <w:rPr>
          <w:bCs/>
          <w:sz w:val="18"/>
          <w:szCs w:val="20"/>
          <w:lang w:val="en-US"/>
        </w:rPr>
        <w:t xml:space="preserve">, </w:t>
      </w:r>
      <w:r w:rsidRPr="009F2FEA">
        <w:rPr>
          <w:bCs/>
          <w:sz w:val="18"/>
          <w:szCs w:val="20"/>
          <w:lang w:val="en-US"/>
        </w:rPr>
        <w:t>hoffmans Nathalie</w:t>
      </w:r>
      <w:r w:rsidRPr="009F2FEA">
        <w:rPr>
          <w:bCs/>
          <w:sz w:val="18"/>
          <w:szCs w:val="20"/>
          <w:lang w:val="en-US"/>
        </w:rPr>
        <w:t xml:space="preserve">, </w:t>
      </w:r>
      <w:r w:rsidRPr="009F2FEA">
        <w:rPr>
          <w:bCs/>
          <w:sz w:val="18"/>
          <w:szCs w:val="20"/>
          <w:lang w:val="en-US"/>
        </w:rPr>
        <w:t>Van Hove Diane</w:t>
      </w:r>
      <w:r w:rsidRPr="009F2FEA">
        <w:rPr>
          <w:bCs/>
          <w:sz w:val="18"/>
          <w:szCs w:val="20"/>
          <w:lang w:val="en-US"/>
        </w:rPr>
        <w:t xml:space="preserve">, </w:t>
      </w:r>
    </w:p>
    <w:p w:rsidR="00AC25A8" w:rsidRPr="00AC25A8" w:rsidP="00AC25A8" w14:paraId="44C9A6EC" w14:textId="77777777">
      <w:pPr>
        <w:spacing w:line="276" w:lineRule="auto"/>
        <w:rPr>
          <w:bCs/>
          <w:sz w:val="18"/>
          <w:szCs w:val="20"/>
          <w:lang w:val="en-US"/>
        </w:rPr>
      </w:pPr>
      <w:r w:rsidRPr="00AC25A8">
        <w:rPr>
          <w:bCs/>
          <w:sz w:val="18"/>
          <w:szCs w:val="20"/>
          <w:lang w:val="en-US"/>
        </w:rPr>
        <w:t>11</w:t>
      </w:r>
      <w:r w:rsidRPr="00AC25A8">
        <w:rPr>
          <w:bCs/>
          <w:sz w:val="18"/>
          <w:szCs w:val="20"/>
          <w:lang w:val="en-US"/>
        </w:rPr>
        <w:t xml:space="preserve"> </w:t>
      </w:r>
      <w:r w:rsidRPr="00AC25A8">
        <w:rPr>
          <w:bCs/>
          <w:sz w:val="18"/>
          <w:szCs w:val="20"/>
          <w:lang w:val="en-US"/>
        </w:rPr>
        <w:t>onthoudingen</w:t>
      </w:r>
      <w:r w:rsidRPr="00AC25A8">
        <w:rPr>
          <w:bCs/>
          <w:sz w:val="18"/>
          <w:szCs w:val="20"/>
          <w:lang w:val="en-US"/>
        </w:rPr>
        <w:t xml:space="preserve">: </w:t>
      </w:r>
      <w:r w:rsidRPr="00AC25A8">
        <w:rPr>
          <w:bCs/>
          <w:sz w:val="18"/>
          <w:szCs w:val="20"/>
          <w:lang w:val="en-US"/>
        </w:rPr>
        <w:t>Vergels Driss</w:t>
      </w:r>
      <w:r w:rsidRPr="00AC25A8">
        <w:rPr>
          <w:bCs/>
          <w:sz w:val="18"/>
          <w:szCs w:val="20"/>
          <w:lang w:val="en-US"/>
        </w:rPr>
        <w:t xml:space="preserve">, </w:t>
      </w:r>
      <w:r w:rsidRPr="00AC25A8">
        <w:rPr>
          <w:bCs/>
          <w:sz w:val="18"/>
          <w:szCs w:val="20"/>
          <w:lang w:val="en-US"/>
        </w:rPr>
        <w:t>Clement Louis</w:t>
      </w:r>
      <w:r w:rsidRPr="00AC25A8">
        <w:rPr>
          <w:bCs/>
          <w:sz w:val="18"/>
          <w:szCs w:val="20"/>
          <w:lang w:val="en-US"/>
        </w:rPr>
        <w:t xml:space="preserve">, </w:t>
      </w:r>
      <w:r w:rsidRPr="00AC25A8">
        <w:rPr>
          <w:bCs/>
          <w:sz w:val="18"/>
          <w:szCs w:val="20"/>
          <w:lang w:val="en-US"/>
        </w:rPr>
        <w:t>Mus Niki</w:t>
      </w:r>
      <w:r w:rsidRPr="00AC25A8">
        <w:rPr>
          <w:bCs/>
          <w:sz w:val="18"/>
          <w:szCs w:val="20"/>
          <w:lang w:val="en-US"/>
        </w:rPr>
        <w:t xml:space="preserve">, </w:t>
      </w:r>
      <w:r w:rsidRPr="00AC25A8">
        <w:rPr>
          <w:bCs/>
          <w:sz w:val="18"/>
          <w:szCs w:val="20"/>
          <w:lang w:val="en-US"/>
        </w:rPr>
        <w:t>Merckx Lean</w:t>
      </w:r>
      <w:r w:rsidRPr="00AC25A8">
        <w:rPr>
          <w:bCs/>
          <w:sz w:val="18"/>
          <w:szCs w:val="20"/>
          <w:lang w:val="en-US"/>
        </w:rPr>
        <w:t xml:space="preserve">, </w:t>
      </w:r>
      <w:r w:rsidRPr="00AC25A8">
        <w:rPr>
          <w:bCs/>
          <w:sz w:val="18"/>
          <w:szCs w:val="20"/>
          <w:lang w:val="en-US"/>
        </w:rPr>
        <w:t>De Jonge Jasper</w:t>
      </w:r>
      <w:r w:rsidRPr="00AC25A8">
        <w:rPr>
          <w:bCs/>
          <w:sz w:val="18"/>
          <w:szCs w:val="20"/>
          <w:lang w:val="en-US"/>
        </w:rPr>
        <w:t xml:space="preserve">, </w:t>
      </w:r>
      <w:r w:rsidRPr="00AC25A8">
        <w:rPr>
          <w:bCs/>
          <w:sz w:val="18"/>
          <w:szCs w:val="20"/>
          <w:lang w:val="en-US"/>
        </w:rPr>
        <w:t>Roesems Gino</w:t>
      </w:r>
      <w:r w:rsidRPr="00AC25A8">
        <w:rPr>
          <w:bCs/>
          <w:sz w:val="18"/>
          <w:szCs w:val="20"/>
          <w:lang w:val="en-US"/>
        </w:rPr>
        <w:t xml:space="preserve">, </w:t>
      </w:r>
      <w:r w:rsidRPr="00AC25A8">
        <w:rPr>
          <w:bCs/>
          <w:sz w:val="18"/>
          <w:szCs w:val="20"/>
          <w:lang w:val="en-US"/>
        </w:rPr>
        <w:t>Vereecke Liesbet</w:t>
      </w:r>
      <w:r w:rsidRPr="00AC25A8">
        <w:rPr>
          <w:bCs/>
          <w:sz w:val="18"/>
          <w:szCs w:val="20"/>
          <w:lang w:val="en-US"/>
        </w:rPr>
        <w:t xml:space="preserve">, </w:t>
      </w:r>
      <w:r w:rsidRPr="00AC25A8">
        <w:rPr>
          <w:bCs/>
          <w:sz w:val="18"/>
          <w:szCs w:val="20"/>
          <w:lang w:val="en-US"/>
        </w:rPr>
        <w:t>Vanderoost Jef</w:t>
      </w:r>
      <w:r w:rsidRPr="00AC25A8">
        <w:rPr>
          <w:bCs/>
          <w:sz w:val="18"/>
          <w:szCs w:val="20"/>
          <w:lang w:val="en-US"/>
        </w:rPr>
        <w:t xml:space="preserve">, </w:t>
      </w:r>
      <w:r w:rsidRPr="00AC25A8">
        <w:rPr>
          <w:bCs/>
          <w:sz w:val="18"/>
          <w:szCs w:val="20"/>
          <w:lang w:val="en-US"/>
        </w:rPr>
        <w:t>Groenweghe Nele</w:t>
      </w:r>
      <w:r w:rsidRPr="00AC25A8">
        <w:rPr>
          <w:bCs/>
          <w:sz w:val="18"/>
          <w:szCs w:val="20"/>
          <w:lang w:val="en-US"/>
        </w:rPr>
        <w:t xml:space="preserve">, </w:t>
      </w:r>
      <w:r w:rsidRPr="00AC25A8">
        <w:rPr>
          <w:bCs/>
          <w:sz w:val="18"/>
          <w:szCs w:val="20"/>
          <w:lang w:val="en-US"/>
        </w:rPr>
        <w:t>De Schryver Reindert</w:t>
      </w:r>
      <w:r w:rsidRPr="00AC25A8">
        <w:rPr>
          <w:bCs/>
          <w:sz w:val="18"/>
          <w:szCs w:val="20"/>
          <w:lang w:val="en-US"/>
        </w:rPr>
        <w:t xml:space="preserve">, </w:t>
      </w:r>
      <w:r w:rsidRPr="00AC25A8">
        <w:rPr>
          <w:bCs/>
          <w:sz w:val="18"/>
          <w:szCs w:val="20"/>
          <w:lang w:val="en-US"/>
        </w:rPr>
        <w:t>Nijs Marianne</w:t>
      </w:r>
    </w:p>
    <w:p w:rsidR="00A77B3E">
      <w:pPr>
        <w:rPr>
          <w:lang w:val="nl-BE" w:eastAsia="nl-BE"/>
        </w:rPr>
      </w:pPr>
      <w:r>
        <w:rPr>
          <w:rStyle w:val="Strong"/>
          <w:lang w:val="nl-BE" w:eastAsia="nl-BE"/>
        </w:rPr>
        <w:t>Artikel 1.</w:t>
      </w:r>
      <w:r>
        <w:rPr>
          <w:lang w:val="nl-BE" w:eastAsia="nl-BE"/>
        </w:rPr>
        <w:t xml:space="preserve"> Vanaf het aanslagjaar 2026 worden de gemeentelijke opcentiemen op de onroerende voorheffing gevestigd als volgt:</w:t>
      </w:r>
    </w:p>
    <w:p w:rsidR="00A77B3E">
      <w:pPr>
        <w:rPr>
          <w:lang w:val="nl-BE" w:eastAsia="nl-BE"/>
        </w:rPr>
      </w:pPr>
      <w:r>
        <w:rPr>
          <w:lang w:val="nl-BE" w:eastAsia="nl-BE"/>
        </w:rPr>
        <w:t>• 790 gemeentelijke opcentiemen op de onroerende voorheffing op de gewone gebouwde en</w:t>
      </w:r>
    </w:p>
    <w:p w:rsidR="00A77B3E">
      <w:pPr>
        <w:rPr>
          <w:lang w:val="nl-BE" w:eastAsia="nl-BE"/>
        </w:rPr>
      </w:pPr>
      <w:r>
        <w:rPr>
          <w:lang w:val="nl-BE" w:eastAsia="nl-BE"/>
        </w:rPr>
        <w:t>ongebouwde belastbare kadastrale inkomens (codes 1 (F,K,L,P) en 2 (F,K,L,P))</w:t>
      </w:r>
    </w:p>
    <w:p w:rsidR="00A77B3E">
      <w:pPr>
        <w:rPr>
          <w:lang w:val="nl-BE" w:eastAsia="nl-BE"/>
        </w:rPr>
      </w:pPr>
      <w:r>
        <w:rPr>
          <w:lang w:val="nl-BE" w:eastAsia="nl-BE"/>
        </w:rPr>
        <w:t>• 1100 gemeentelijke opcentiemen op de onroerende voorheffing op de gebouwde en</w:t>
      </w:r>
    </w:p>
    <w:p w:rsidR="00A77B3E">
      <w:pPr>
        <w:rPr>
          <w:lang w:val="nl-BE" w:eastAsia="nl-BE"/>
        </w:rPr>
      </w:pPr>
      <w:r>
        <w:rPr>
          <w:lang w:val="nl-BE" w:eastAsia="nl-BE"/>
        </w:rPr>
        <w:t>ongebouwde belastbare kadastrale inkomens nijverheid en materieel en outillage (codes 3</w:t>
      </w:r>
    </w:p>
    <w:p w:rsidR="00A77B3E">
      <w:pPr>
        <w:rPr>
          <w:lang w:val="nl-BE" w:eastAsia="nl-BE"/>
        </w:rPr>
      </w:pPr>
      <w:r>
        <w:rPr>
          <w:lang w:val="nl-BE" w:eastAsia="nl-BE"/>
        </w:rPr>
        <w:t>(F,K,L,P), 4 (F,K,L,P), 5 (F,K,L,P) en 6 (F,K,L,P))</w:t>
      </w:r>
    </w:p>
    <w:p w:rsidR="00A77B3E">
      <w:pPr>
        <w:rPr>
          <w:lang w:val="nl-BE" w:eastAsia="nl-BE"/>
        </w:rPr>
      </w:pPr>
      <w:r>
        <w:rPr>
          <w:rStyle w:val="Strong"/>
          <w:lang w:val="nl-BE" w:eastAsia="nl-BE"/>
        </w:rPr>
        <w:t>Artikel 2.</w:t>
      </w:r>
      <w:r>
        <w:rPr>
          <w:lang w:val="nl-BE" w:eastAsia="nl-BE"/>
        </w:rPr>
        <w:t xml:space="preserve"> De vestiging en inning van de gemeentebelasting gebeuren door de Vlaamse Belastingdienst.</w:t>
      </w:r>
    </w:p>
    <w:p w:rsidR="00A77B3E">
      <w:pPr>
        <w:rPr>
          <w:lang w:val="nl-BE" w:eastAsia="nl-BE"/>
        </w:rPr>
      </w:pPr>
      <w:r>
        <w:rPr>
          <w:rStyle w:val="Strong"/>
          <w:lang w:val="nl-BE" w:eastAsia="nl-BE"/>
        </w:rPr>
        <w:t>Artikel 3</w:t>
      </w:r>
      <w:r>
        <w:rPr>
          <w:lang w:val="nl-BE" w:eastAsia="nl-BE"/>
        </w:rPr>
        <w:t>. De toezichthoudende overheid wordt op de hoogte gebracht overeenkomstig artikel 330 van het Decreet over het Lokaal Bestuur.</w:t>
      </w:r>
    </w:p>
    <w:p w:rsidR="00A77B3E">
      <w:pPr>
        <w:rPr>
          <w:lang w:val="nl-BE" w:eastAsia="nl-BE"/>
        </w:rPr>
      </w:pPr>
      <w:r>
        <w:rPr>
          <w:lang w:val="nl-BE" w:eastAsia="nl-BE"/>
        </w:rPr>
        <w:t>Het reglement wordt afgekondigd en bekendgemaakt overeenkomstig artikel 286 § 1 en 287 van het Decreet over het Lokaal Bestuur.</w:t>
      </w:r>
    </w:p>
    <w:p w:rsidR="00A77B3E">
      <w:pPr>
        <w:rPr>
          <w:lang w:val="nl-BE" w:eastAsia="nl-BE"/>
        </w:rPr>
      </w:pPr>
      <w:r>
        <w:rPr>
          <w:rStyle w:val="Strong"/>
          <w:lang w:val="nl-BE" w:eastAsia="nl-BE"/>
        </w:rPr>
        <w:t>Artikel 4.</w:t>
      </w:r>
      <w:r>
        <w:rPr>
          <w:lang w:val="nl-BE" w:eastAsia="nl-BE"/>
        </w:rPr>
        <w:t xml:space="preserve"> Dit belastingreglement treedt in werking op 1 januari 2026.</w:t>
      </w:r>
    </w:p>
    <w:p w:rsidR="00A77B3E">
      <w:pPr>
        <w:rPr>
          <w:lang w:val="nl-BE" w:eastAsia="nl-BE"/>
        </w:rPr>
      </w:pPr>
      <w:r>
        <w:rPr>
          <w:rStyle w:val="Strong"/>
          <w:lang w:val="nl-BE" w:eastAsia="nl-BE"/>
        </w:rPr>
        <w:t>Artikel 5.</w:t>
      </w:r>
      <w:r>
        <w:rPr>
          <w:lang w:val="nl-BE" w:eastAsia="nl-BE"/>
        </w:rPr>
        <w:t xml:space="preserve"> Het belastingreglement betreffende de gemeentelijke opcentiemen op de onroerende voorheffing zoals goedgekeurd door de gemeenteraad op 21 december 2021 wordt opgeheven vanaf de inwerkingtreding van onderhavig belastingreglement. </w:t>
      </w:r>
    </w:p>
    <w:p w:rsidR="00E535F5" w:rsidP="00AC25A8" w14:paraId="7A64E8D2" w14:textId="7683CDCD">
      <w:pPr>
        <w:spacing w:before="240" w:line="276" w:lineRule="auto"/>
      </w:pPr>
    </w:p>
    <w:p w:rsidR="00C5303E" w:rsidP="00863E6C" w14:paraId="584168D6" w14:textId="77777777">
      <w:pPr>
        <w:jc w:val="center"/>
        <w:rPr>
          <w:b/>
        </w:rPr>
      </w:pPr>
    </w:p>
    <w:p w:rsidR="00F75F00" w:rsidP="00863E6C" w14:paraId="273E9D91" w14:textId="33A510A0">
      <w:pPr>
        <w:jc w:val="center"/>
        <w:rPr>
          <w:b/>
        </w:rPr>
      </w:pPr>
      <w:r w:rsidRPr="006E614E">
        <w:rPr>
          <w:b/>
        </w:rPr>
        <w:t>Namens</w:t>
      </w:r>
      <w:r w:rsidR="006F5B6E">
        <w:rPr>
          <w:b/>
        </w:rPr>
        <w:t xml:space="preserve"> </w:t>
      </w:r>
      <w:r w:rsidR="006F5B6E">
        <w:rPr>
          <w:b/>
        </w:rPr>
        <w:t>Gemeenteraad</w:t>
      </w:r>
      <w:r w:rsidRPr="006E614E">
        <w:rPr>
          <w:b/>
        </w:rPr>
        <w:t>,</w:t>
      </w:r>
    </w:p>
    <w:p w:rsidR="00C74730" w:rsidP="00863E6C" w14:paraId="6A236B67" w14:textId="0FB370AB">
      <w:pPr>
        <w:jc w:val="center"/>
        <w:rPr>
          <w:b/>
        </w:rPr>
      </w:pPr>
      <w:r>
        <w:rPr>
          <w:b/>
        </w:rPr>
        <w:t>voor eensluidend afschrift</w:t>
      </w:r>
    </w:p>
    <w:tbl>
      <w:tblPr>
        <w:tblStyle w:val="TableGrid"/>
        <w:tblW w:w="6803" w:type="dxa"/>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6"/>
        <w:gridCol w:w="283"/>
        <w:gridCol w:w="3544"/>
      </w:tblGrid>
      <w:tr w14:paraId="14440A00" w14:textId="77777777" w:rsidTr="00D31999">
        <w:tblPrEx>
          <w:tblW w:w="6803" w:type="dxa"/>
          <w:tblInd w:w="1809" w:type="dxa"/>
          <w:tblLook w:val="04A0"/>
        </w:tblPrEx>
        <w:tc>
          <w:tcPr>
            <w:tcW w:w="2976" w:type="dxa"/>
          </w:tcPr>
          <w:p w:rsidR="00E65343" w:rsidRPr="00C447E9" w:rsidP="00D065BA" w14:paraId="032A1EE7" w14:textId="00117286">
            <w:r>
              <w:t>[SIG01]</w:t>
            </w:r>
          </w:p>
        </w:tc>
        <w:tc>
          <w:tcPr>
            <w:tcW w:w="283" w:type="dxa"/>
          </w:tcPr>
          <w:p w:rsidR="006E614E" w:rsidP="006E614E" w14:paraId="01F0317A" w14:textId="77777777">
            <w:pPr>
              <w:jc w:val="center"/>
              <w:rPr>
                <w:b/>
              </w:rPr>
            </w:pPr>
          </w:p>
        </w:tc>
        <w:tc>
          <w:tcPr>
            <w:tcW w:w="3544" w:type="dxa"/>
          </w:tcPr>
          <w:p w:rsidR="00B54E3E" w:rsidRPr="00D065BA" w:rsidP="00D065BA" w14:paraId="3E77C818" w14:textId="73317BBF">
            <w:r>
              <w:t>[SIG02]</w:t>
            </w:r>
          </w:p>
        </w:tc>
      </w:tr>
    </w:tbl>
    <w:p w:rsidR="00817AB9" w:rsidRPr="00D065BA" w:rsidP="007170E2" w14:paraId="10680465" w14:textId="312B8C3D">
      <w:pPr>
        <w:spacing w:after="160" w:line="259" w:lineRule="auto"/>
      </w:pPr>
    </w:p>
    <w:sectPr w:rsidSect="00F177D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9"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B86" w14:paraId="023262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6FE" w:rsidRPr="002D04CD" w14:paraId="256A8699" w14:textId="204289A1">
    <w:pPr>
      <w:pStyle w:val="Footer"/>
    </w:pPr>
    <w:r>
      <w:tab/>
    </w:r>
    <w:r>
      <w:tab/>
    </w:r>
    <w:r w:rsidRPr="005D5798">
      <w:rPr>
        <w:sz w:val="18"/>
        <w:szCs w:val="20"/>
      </w:rPr>
      <w:fldChar w:fldCharType="begin"/>
    </w:r>
    <w:r w:rsidRPr="005D5798">
      <w:rPr>
        <w:sz w:val="18"/>
        <w:szCs w:val="20"/>
      </w:rPr>
      <w:instrText>PAGE  \* Arabic  \* MERGEFORMAT</w:instrText>
    </w:r>
    <w:r w:rsidRPr="005D5798">
      <w:rPr>
        <w:sz w:val="18"/>
        <w:szCs w:val="20"/>
      </w:rPr>
      <w:fldChar w:fldCharType="separate"/>
    </w:r>
    <w:r w:rsidRPr="005D5798">
      <w:rPr>
        <w:sz w:val="18"/>
        <w:szCs w:val="20"/>
        <w:lang w:val="nl-NL"/>
      </w:rPr>
      <w:t>3</w:t>
    </w:r>
    <w:r w:rsidRPr="005D5798">
      <w:rPr>
        <w:sz w:val="18"/>
        <w:szCs w:val="20"/>
      </w:rPr>
      <w:fldChar w:fldCharType="end"/>
    </w:r>
    <w:r w:rsidRPr="005D5798">
      <w:rPr>
        <w:sz w:val="18"/>
        <w:szCs w:val="20"/>
        <w:lang w:val="nl-NL"/>
      </w:rPr>
      <w:t xml:space="preserve"> | </w:t>
    </w:r>
    <w:r w:rsidRPr="005D5798" w:rsidR="00661550">
      <w:rPr>
        <w:sz w:val="18"/>
        <w:szCs w:val="20"/>
      </w:rPr>
      <w:fldChar w:fldCharType="begin"/>
    </w:r>
    <w:r w:rsidRPr="005D5798" w:rsidR="00661550">
      <w:rPr>
        <w:sz w:val="18"/>
        <w:szCs w:val="20"/>
      </w:rPr>
      <w:instrText>NUMPAGES  \* Arabic  \* MERGEFORMAT</w:instrText>
    </w:r>
    <w:r w:rsidRPr="005D5798" w:rsidR="00661550">
      <w:rPr>
        <w:sz w:val="18"/>
        <w:szCs w:val="20"/>
      </w:rPr>
      <w:fldChar w:fldCharType="separate"/>
    </w:r>
    <w:r w:rsidRPr="005D5798">
      <w:rPr>
        <w:sz w:val="18"/>
        <w:szCs w:val="20"/>
        <w:lang w:val="nl-NL"/>
      </w:rPr>
      <w:t>3</w:t>
    </w:r>
    <w:r w:rsidRPr="005D5798" w:rsidR="00661550">
      <w:rPr>
        <w:sz w:val="18"/>
        <w:szCs w:val="20"/>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6FE" w:rsidRPr="00F82D14" w14:paraId="612495F8" w14:textId="28D528D5">
    <w:pPr>
      <w:pStyle w:val="Footer"/>
      <w:rPr>
        <w:sz w:val="18"/>
        <w:szCs w:val="20"/>
      </w:rPr>
    </w:pPr>
    <w:r>
      <w:rPr>
        <w:sz w:val="18"/>
        <w:szCs w:val="20"/>
      </w:rPr>
      <w:tab/>
    </w:r>
    <w:r>
      <w:rPr>
        <w:sz w:val="18"/>
        <w:szCs w:val="20"/>
      </w:rPr>
      <w:tab/>
    </w:r>
    <w:r w:rsidRPr="00A81BE5">
      <w:rPr>
        <w:sz w:val="18"/>
        <w:szCs w:val="18"/>
        <w:lang w:val="nl-NL"/>
      </w:rPr>
      <w:t xml:space="preserve"> </w:t>
    </w:r>
    <w:r w:rsidRPr="00A81BE5">
      <w:rPr>
        <w:sz w:val="18"/>
        <w:szCs w:val="18"/>
      </w:rPr>
      <w:fldChar w:fldCharType="begin"/>
    </w:r>
    <w:r w:rsidRPr="00A81BE5">
      <w:rPr>
        <w:sz w:val="18"/>
        <w:szCs w:val="18"/>
      </w:rPr>
      <w:instrText>PAGE  \* Arabic  \* MERGEFORMAT</w:instrText>
    </w:r>
    <w:r w:rsidRPr="00A81BE5">
      <w:rPr>
        <w:sz w:val="18"/>
        <w:szCs w:val="18"/>
      </w:rPr>
      <w:fldChar w:fldCharType="separate"/>
    </w:r>
    <w:r w:rsidRPr="00A81BE5">
      <w:rPr>
        <w:sz w:val="18"/>
        <w:szCs w:val="18"/>
        <w:lang w:val="nl-NL"/>
      </w:rPr>
      <w:t>1</w:t>
    </w:r>
    <w:r w:rsidRPr="00A81BE5">
      <w:rPr>
        <w:sz w:val="18"/>
        <w:szCs w:val="18"/>
      </w:rPr>
      <w:fldChar w:fldCharType="end"/>
    </w:r>
    <w:r w:rsidRPr="00A81BE5">
      <w:rPr>
        <w:sz w:val="18"/>
        <w:szCs w:val="18"/>
        <w:lang w:val="nl-NL"/>
      </w:rPr>
      <w:t xml:space="preserve"> | </w:t>
    </w:r>
    <w:r w:rsidRPr="00A81BE5">
      <w:rPr>
        <w:sz w:val="18"/>
        <w:szCs w:val="18"/>
      </w:rPr>
      <w:fldChar w:fldCharType="begin"/>
    </w:r>
    <w:r w:rsidRPr="00A81BE5">
      <w:rPr>
        <w:sz w:val="18"/>
        <w:szCs w:val="18"/>
      </w:rPr>
      <w:instrText>NUMPAGES  \* Arabic  \* MERGEFORMAT</w:instrText>
    </w:r>
    <w:r w:rsidRPr="00A81BE5">
      <w:rPr>
        <w:sz w:val="18"/>
        <w:szCs w:val="18"/>
      </w:rPr>
      <w:fldChar w:fldCharType="separate"/>
    </w:r>
    <w:r w:rsidRPr="00A81BE5">
      <w:rPr>
        <w:sz w:val="18"/>
        <w:szCs w:val="18"/>
        <w:lang w:val="nl-NL"/>
      </w:rPr>
      <w:t>3</w:t>
    </w:r>
    <w:r w:rsidRPr="00A81BE5">
      <w:rPr>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B86" w14:paraId="30F401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0E3" w:rsidP="00EA60E3" w14:paraId="651CE6C7" w14:textId="39CCBBE6">
    <w:pPr>
      <w:pStyle w:val="Header"/>
      <w:tabs>
        <w:tab w:val="clear" w:pos="4536"/>
      </w:tabs>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6FE" w:rsidRPr="005842BB" w:rsidP="009C5A85" w14:paraId="44041B41" w14:textId="2922AAAC">
    <w:pPr>
      <w:pStyle w:val="Header"/>
      <w:tabs>
        <w:tab w:val="clear" w:pos="4536"/>
      </w:tabs>
    </w:pPr>
    <w:r w:rsidR="007541F9">
      <w:drawing>
        <wp:inline distT="0" distB="0" distL="0" distR="0">
          <wp:extent cx="1263599" cy="254299"/>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xmlns:r="http://schemas.openxmlformats.org/officeDocument/2006/relationships" r:embed="rId1" cstate="print"/>
                  <a:stretch>
                    <a:fillRect/>
                  </a:stretch>
                </pic:blipFill>
                <pic:spPr bwMode="auto">
                  <a:xfrm>
                    <a:off x="0" y="0"/>
                    <a:ext cx="1263599" cy="254299"/>
                  </a:xfrm>
                  <a:prstGeom prst="rect">
                    <a:avLst/>
                  </a:prstGeom>
                </pic:spPr>
              </pic:pic>
            </a:graphicData>
          </a:graphic>
        </wp:inline>
      </w:drawing>
    </w:r>
    <w:r w:rsidR="000A68E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EA60E3"/>
    <w:rsid w:val="000075DE"/>
    <w:rsid w:val="00011255"/>
    <w:rsid w:val="00011DAE"/>
    <w:rsid w:val="000160E0"/>
    <w:rsid w:val="000254B3"/>
    <w:rsid w:val="00025869"/>
    <w:rsid w:val="00052B29"/>
    <w:rsid w:val="000604DB"/>
    <w:rsid w:val="000612E1"/>
    <w:rsid w:val="0006388B"/>
    <w:rsid w:val="00087778"/>
    <w:rsid w:val="00090438"/>
    <w:rsid w:val="00092E2C"/>
    <w:rsid w:val="000979EA"/>
    <w:rsid w:val="000A68E8"/>
    <w:rsid w:val="000C5E14"/>
    <w:rsid w:val="000D56F3"/>
    <w:rsid w:val="001144EF"/>
    <w:rsid w:val="0012123C"/>
    <w:rsid w:val="00123988"/>
    <w:rsid w:val="00145BCB"/>
    <w:rsid w:val="0015061E"/>
    <w:rsid w:val="00166B67"/>
    <w:rsid w:val="001703EE"/>
    <w:rsid w:val="0017083A"/>
    <w:rsid w:val="00181009"/>
    <w:rsid w:val="001A0749"/>
    <w:rsid w:val="001A79A6"/>
    <w:rsid w:val="001C372E"/>
    <w:rsid w:val="001C67D8"/>
    <w:rsid w:val="001C7628"/>
    <w:rsid w:val="001D23E5"/>
    <w:rsid w:val="001E18BB"/>
    <w:rsid w:val="001E5B86"/>
    <w:rsid w:val="001F0A9D"/>
    <w:rsid w:val="001F682C"/>
    <w:rsid w:val="00224C3B"/>
    <w:rsid w:val="002301F5"/>
    <w:rsid w:val="00230944"/>
    <w:rsid w:val="00256B8F"/>
    <w:rsid w:val="002677FC"/>
    <w:rsid w:val="00285E6C"/>
    <w:rsid w:val="00286116"/>
    <w:rsid w:val="002959EB"/>
    <w:rsid w:val="002A1178"/>
    <w:rsid w:val="002B2644"/>
    <w:rsid w:val="002B6030"/>
    <w:rsid w:val="002C118D"/>
    <w:rsid w:val="002C5BF3"/>
    <w:rsid w:val="002D04CD"/>
    <w:rsid w:val="002E5CD9"/>
    <w:rsid w:val="00302909"/>
    <w:rsid w:val="00320618"/>
    <w:rsid w:val="00321B57"/>
    <w:rsid w:val="0032264A"/>
    <w:rsid w:val="00324B6A"/>
    <w:rsid w:val="00332337"/>
    <w:rsid w:val="00336886"/>
    <w:rsid w:val="00337D35"/>
    <w:rsid w:val="0034006E"/>
    <w:rsid w:val="00352553"/>
    <w:rsid w:val="00352E43"/>
    <w:rsid w:val="0035730B"/>
    <w:rsid w:val="00363AB8"/>
    <w:rsid w:val="00370730"/>
    <w:rsid w:val="00375AF5"/>
    <w:rsid w:val="0038438A"/>
    <w:rsid w:val="00386D3F"/>
    <w:rsid w:val="00391FF6"/>
    <w:rsid w:val="00392DB9"/>
    <w:rsid w:val="00392DEE"/>
    <w:rsid w:val="003D3CC0"/>
    <w:rsid w:val="003D7548"/>
    <w:rsid w:val="003F1AEE"/>
    <w:rsid w:val="00441530"/>
    <w:rsid w:val="004553A2"/>
    <w:rsid w:val="00463125"/>
    <w:rsid w:val="00471133"/>
    <w:rsid w:val="00471E41"/>
    <w:rsid w:val="004A3347"/>
    <w:rsid w:val="004A50F8"/>
    <w:rsid w:val="004A7AC3"/>
    <w:rsid w:val="004B546A"/>
    <w:rsid w:val="004E0508"/>
    <w:rsid w:val="004E56A2"/>
    <w:rsid w:val="004F4ABE"/>
    <w:rsid w:val="004F56F9"/>
    <w:rsid w:val="00511B6F"/>
    <w:rsid w:val="00531EF9"/>
    <w:rsid w:val="00531F9D"/>
    <w:rsid w:val="0057088E"/>
    <w:rsid w:val="00581D21"/>
    <w:rsid w:val="005842BB"/>
    <w:rsid w:val="00585EDE"/>
    <w:rsid w:val="005B3968"/>
    <w:rsid w:val="005C0F81"/>
    <w:rsid w:val="005C650F"/>
    <w:rsid w:val="005C7834"/>
    <w:rsid w:val="005D5798"/>
    <w:rsid w:val="005D6C46"/>
    <w:rsid w:val="005F1E32"/>
    <w:rsid w:val="005F5513"/>
    <w:rsid w:val="00600B1B"/>
    <w:rsid w:val="006037A7"/>
    <w:rsid w:val="00610AED"/>
    <w:rsid w:val="0061278D"/>
    <w:rsid w:val="0061546A"/>
    <w:rsid w:val="0063544E"/>
    <w:rsid w:val="00635FC7"/>
    <w:rsid w:val="00642F2E"/>
    <w:rsid w:val="00646FD6"/>
    <w:rsid w:val="00655CBE"/>
    <w:rsid w:val="00661550"/>
    <w:rsid w:val="00672BAD"/>
    <w:rsid w:val="00673A82"/>
    <w:rsid w:val="006B12E3"/>
    <w:rsid w:val="006D7FD5"/>
    <w:rsid w:val="006E614E"/>
    <w:rsid w:val="006F05F2"/>
    <w:rsid w:val="006F5B6E"/>
    <w:rsid w:val="006F6212"/>
    <w:rsid w:val="00714D3F"/>
    <w:rsid w:val="007170E2"/>
    <w:rsid w:val="00732112"/>
    <w:rsid w:val="00733F43"/>
    <w:rsid w:val="00736929"/>
    <w:rsid w:val="00744ECD"/>
    <w:rsid w:val="00750281"/>
    <w:rsid w:val="00751FD8"/>
    <w:rsid w:val="0075274D"/>
    <w:rsid w:val="007541F9"/>
    <w:rsid w:val="007767EA"/>
    <w:rsid w:val="00784650"/>
    <w:rsid w:val="0079042E"/>
    <w:rsid w:val="00790F0D"/>
    <w:rsid w:val="00796E6F"/>
    <w:rsid w:val="007A0B79"/>
    <w:rsid w:val="007A2B30"/>
    <w:rsid w:val="007C2254"/>
    <w:rsid w:val="007C386D"/>
    <w:rsid w:val="007C5485"/>
    <w:rsid w:val="00801FFD"/>
    <w:rsid w:val="00802B21"/>
    <w:rsid w:val="00817AB9"/>
    <w:rsid w:val="00840C4C"/>
    <w:rsid w:val="008449A9"/>
    <w:rsid w:val="008450B6"/>
    <w:rsid w:val="00850461"/>
    <w:rsid w:val="00852824"/>
    <w:rsid w:val="00863E6C"/>
    <w:rsid w:val="00864671"/>
    <w:rsid w:val="008705C7"/>
    <w:rsid w:val="0087788D"/>
    <w:rsid w:val="008825F4"/>
    <w:rsid w:val="008876FE"/>
    <w:rsid w:val="008B07E0"/>
    <w:rsid w:val="008C25EF"/>
    <w:rsid w:val="008C4055"/>
    <w:rsid w:val="008E0717"/>
    <w:rsid w:val="00905AC3"/>
    <w:rsid w:val="00905FCF"/>
    <w:rsid w:val="00907BC7"/>
    <w:rsid w:val="00913C2F"/>
    <w:rsid w:val="00925E9C"/>
    <w:rsid w:val="009333D9"/>
    <w:rsid w:val="00945A70"/>
    <w:rsid w:val="00963DB5"/>
    <w:rsid w:val="00965B66"/>
    <w:rsid w:val="00976F93"/>
    <w:rsid w:val="00982CE9"/>
    <w:rsid w:val="00984AE8"/>
    <w:rsid w:val="00995786"/>
    <w:rsid w:val="0099797C"/>
    <w:rsid w:val="009B078E"/>
    <w:rsid w:val="009B2B87"/>
    <w:rsid w:val="009C393E"/>
    <w:rsid w:val="009C5A85"/>
    <w:rsid w:val="009E5EBF"/>
    <w:rsid w:val="009F2FEA"/>
    <w:rsid w:val="009F76AB"/>
    <w:rsid w:val="00A019D2"/>
    <w:rsid w:val="00A067A1"/>
    <w:rsid w:val="00A106E7"/>
    <w:rsid w:val="00A221F5"/>
    <w:rsid w:val="00A27D94"/>
    <w:rsid w:val="00A33955"/>
    <w:rsid w:val="00A43090"/>
    <w:rsid w:val="00A608F8"/>
    <w:rsid w:val="00A66127"/>
    <w:rsid w:val="00A75795"/>
    <w:rsid w:val="00A75B73"/>
    <w:rsid w:val="00A77B3E"/>
    <w:rsid w:val="00A80714"/>
    <w:rsid w:val="00A81BE5"/>
    <w:rsid w:val="00AA0E70"/>
    <w:rsid w:val="00AC25A8"/>
    <w:rsid w:val="00AD2FCC"/>
    <w:rsid w:val="00AF0727"/>
    <w:rsid w:val="00AF2ECA"/>
    <w:rsid w:val="00AF684D"/>
    <w:rsid w:val="00AF6F78"/>
    <w:rsid w:val="00B34FC0"/>
    <w:rsid w:val="00B46E3D"/>
    <w:rsid w:val="00B54E3E"/>
    <w:rsid w:val="00B67632"/>
    <w:rsid w:val="00B7345C"/>
    <w:rsid w:val="00B75345"/>
    <w:rsid w:val="00BF5773"/>
    <w:rsid w:val="00C048D2"/>
    <w:rsid w:val="00C07C40"/>
    <w:rsid w:val="00C25981"/>
    <w:rsid w:val="00C3460B"/>
    <w:rsid w:val="00C40C72"/>
    <w:rsid w:val="00C447E9"/>
    <w:rsid w:val="00C5303E"/>
    <w:rsid w:val="00C669D0"/>
    <w:rsid w:val="00C66B3A"/>
    <w:rsid w:val="00C74730"/>
    <w:rsid w:val="00C7772A"/>
    <w:rsid w:val="00C87912"/>
    <w:rsid w:val="00C96CE5"/>
    <w:rsid w:val="00CA3724"/>
    <w:rsid w:val="00CA7EA2"/>
    <w:rsid w:val="00CB149E"/>
    <w:rsid w:val="00CB6657"/>
    <w:rsid w:val="00CB6EEE"/>
    <w:rsid w:val="00CC5055"/>
    <w:rsid w:val="00CE7A87"/>
    <w:rsid w:val="00CF488B"/>
    <w:rsid w:val="00D065BA"/>
    <w:rsid w:val="00D1222E"/>
    <w:rsid w:val="00D139F7"/>
    <w:rsid w:val="00D2300E"/>
    <w:rsid w:val="00D2625B"/>
    <w:rsid w:val="00D31999"/>
    <w:rsid w:val="00D45B74"/>
    <w:rsid w:val="00D676EF"/>
    <w:rsid w:val="00D8795A"/>
    <w:rsid w:val="00DC32A1"/>
    <w:rsid w:val="00DC7E43"/>
    <w:rsid w:val="00DE48F3"/>
    <w:rsid w:val="00DF77AF"/>
    <w:rsid w:val="00E00C17"/>
    <w:rsid w:val="00E16DBC"/>
    <w:rsid w:val="00E4049A"/>
    <w:rsid w:val="00E4094D"/>
    <w:rsid w:val="00E51425"/>
    <w:rsid w:val="00E51DB2"/>
    <w:rsid w:val="00E535F5"/>
    <w:rsid w:val="00E65343"/>
    <w:rsid w:val="00E96BD2"/>
    <w:rsid w:val="00E96E04"/>
    <w:rsid w:val="00EA60E3"/>
    <w:rsid w:val="00EB00C4"/>
    <w:rsid w:val="00ED3020"/>
    <w:rsid w:val="00ED4D15"/>
    <w:rsid w:val="00ED5FFF"/>
    <w:rsid w:val="00EE5927"/>
    <w:rsid w:val="00F177D6"/>
    <w:rsid w:val="00F23564"/>
    <w:rsid w:val="00F23AF2"/>
    <w:rsid w:val="00F458C3"/>
    <w:rsid w:val="00F549FF"/>
    <w:rsid w:val="00F7472F"/>
    <w:rsid w:val="00F75F00"/>
    <w:rsid w:val="00F80A67"/>
    <w:rsid w:val="00F82D14"/>
    <w:rsid w:val="00FB1AEE"/>
    <w:rsid w:val="00FB3B56"/>
    <w:rsid w:val="00FD4EF0"/>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14:docId w14:val="1DA654D3"/>
  <w15:docId w15:val="{678A6375-42BA-438A-985F-3B67B712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tandaardtekst"/>
    <w:qFormat/>
    <w:rsid w:val="0015061E"/>
    <w:pPr>
      <w:spacing w:after="120" w:line="240" w:lineRule="auto"/>
    </w:pPr>
    <w:rPr>
      <w:rFonts w:ascii="Arial" w:hAnsi="Arial"/>
      <w:sz w:val="20"/>
    </w:rPr>
  </w:style>
  <w:style w:type="paragraph" w:styleId="Heading1">
    <w:name w:val="heading 1"/>
    <w:basedOn w:val="Normal"/>
    <w:next w:val="Normal"/>
    <w:link w:val="Kop1Char"/>
    <w:uiPriority w:val="9"/>
    <w:qFormat/>
    <w:rsid w:val="00E96BD2"/>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EA60E3"/>
    <w:pPr>
      <w:tabs>
        <w:tab w:val="center" w:pos="4536"/>
        <w:tab w:val="right" w:pos="9072"/>
      </w:tabs>
      <w:spacing w:after="0"/>
    </w:pPr>
  </w:style>
  <w:style w:type="character" w:customStyle="1" w:styleId="KoptekstChar">
    <w:name w:val="Koptekst Char"/>
    <w:basedOn w:val="DefaultParagraphFont"/>
    <w:link w:val="Header"/>
    <w:uiPriority w:val="99"/>
    <w:rsid w:val="00EA60E3"/>
  </w:style>
  <w:style w:type="paragraph" w:styleId="Footer">
    <w:name w:val="footer"/>
    <w:basedOn w:val="Normal"/>
    <w:link w:val="VoettekstChar"/>
    <w:uiPriority w:val="99"/>
    <w:unhideWhenUsed/>
    <w:rsid w:val="00EA60E3"/>
    <w:pPr>
      <w:tabs>
        <w:tab w:val="center" w:pos="4536"/>
        <w:tab w:val="right" w:pos="9072"/>
      </w:tabs>
      <w:spacing w:after="0"/>
    </w:pPr>
  </w:style>
  <w:style w:type="character" w:customStyle="1" w:styleId="VoettekstChar">
    <w:name w:val="Voettekst Char"/>
    <w:basedOn w:val="DefaultParagraphFont"/>
    <w:link w:val="Footer"/>
    <w:uiPriority w:val="99"/>
    <w:rsid w:val="00EA60E3"/>
  </w:style>
  <w:style w:type="character" w:styleId="PlaceholderText">
    <w:name w:val="Placeholder Text"/>
    <w:basedOn w:val="DefaultParagraphFont"/>
    <w:uiPriority w:val="99"/>
    <w:semiHidden/>
    <w:rsid w:val="00EA60E3"/>
    <w:rPr>
      <w:color w:val="808080"/>
    </w:rPr>
  </w:style>
  <w:style w:type="table" w:styleId="TableGrid">
    <w:name w:val="Table Grid"/>
    <w:basedOn w:val="TableNormal"/>
    <w:uiPriority w:val="39"/>
    <w:rsid w:val="00751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elChar"/>
    <w:uiPriority w:val="10"/>
    <w:qFormat/>
    <w:rsid w:val="00E4049A"/>
    <w:pPr>
      <w:spacing w:after="0"/>
      <w:contextualSpacing/>
    </w:pPr>
    <w:rPr>
      <w:rFonts w:eastAsiaTheme="majorEastAsia" w:cstheme="majorBidi"/>
      <w:b/>
      <w:caps/>
      <w:spacing w:val="-10"/>
      <w:kern w:val="28"/>
      <w:sz w:val="28"/>
      <w:szCs w:val="56"/>
    </w:rPr>
  </w:style>
  <w:style w:type="character" w:customStyle="1" w:styleId="TitelChar">
    <w:name w:val="Titel Char"/>
    <w:basedOn w:val="DefaultParagraphFont"/>
    <w:link w:val="Title"/>
    <w:uiPriority w:val="10"/>
    <w:rsid w:val="00E4049A"/>
    <w:rPr>
      <w:rFonts w:ascii="Arial" w:hAnsi="Arial" w:eastAsiaTheme="majorEastAsia" w:cstheme="majorBidi"/>
      <w:b/>
      <w:caps/>
      <w:spacing w:val="-10"/>
      <w:kern w:val="28"/>
      <w:sz w:val="28"/>
      <w:szCs w:val="56"/>
    </w:rPr>
  </w:style>
  <w:style w:type="paragraph" w:styleId="BalloonText">
    <w:name w:val="Balloon Text"/>
    <w:basedOn w:val="Normal"/>
    <w:link w:val="BallontekstChar"/>
    <w:uiPriority w:val="99"/>
    <w:semiHidden/>
    <w:unhideWhenUsed/>
    <w:rsid w:val="004B546A"/>
    <w:pPr>
      <w:spacing w:after="0"/>
    </w:pPr>
    <w:rPr>
      <w:rFonts w:ascii="Tahoma" w:hAnsi="Tahoma" w:cs="Tahoma"/>
      <w:sz w:val="16"/>
      <w:szCs w:val="16"/>
    </w:rPr>
  </w:style>
  <w:style w:type="character" w:customStyle="1" w:styleId="BallontekstChar">
    <w:name w:val="Ballontekst Char"/>
    <w:basedOn w:val="DefaultParagraphFont"/>
    <w:link w:val="BalloonText"/>
    <w:uiPriority w:val="99"/>
    <w:semiHidden/>
    <w:rsid w:val="004B546A"/>
    <w:rPr>
      <w:rFonts w:ascii="Tahoma" w:hAnsi="Tahoma" w:cs="Tahoma"/>
      <w:sz w:val="16"/>
      <w:szCs w:val="16"/>
    </w:rPr>
  </w:style>
  <w:style w:type="paragraph" w:styleId="NoSpacing">
    <w:name w:val="No Spacing"/>
    <w:aliases w:val="zitting van"/>
    <w:uiPriority w:val="1"/>
    <w:qFormat/>
    <w:rsid w:val="00907BC7"/>
    <w:pPr>
      <w:spacing w:after="0" w:line="240" w:lineRule="auto"/>
    </w:pPr>
    <w:rPr>
      <w:rFonts w:ascii="Arial" w:hAnsi="Arial"/>
      <w:sz w:val="24"/>
    </w:rPr>
  </w:style>
  <w:style w:type="character" w:styleId="BookTitle">
    <w:name w:val="Book Title"/>
    <w:basedOn w:val="DefaultParagraphFont"/>
    <w:uiPriority w:val="33"/>
    <w:qFormat/>
    <w:rsid w:val="008825F4"/>
    <w:rPr>
      <w:rFonts w:ascii="Arial" w:hAnsi="Arial"/>
      <w:b/>
      <w:bCs/>
      <w:i w:val="0"/>
      <w:iCs/>
      <w:caps/>
      <w:smallCaps w:val="0"/>
      <w:spacing w:val="5"/>
      <w:sz w:val="24"/>
    </w:rPr>
  </w:style>
  <w:style w:type="character" w:customStyle="1" w:styleId="Kop1Char">
    <w:name w:val="Kop 1 Char"/>
    <w:basedOn w:val="DefaultParagraphFont"/>
    <w:link w:val="Heading1"/>
    <w:uiPriority w:val="9"/>
    <w:rsid w:val="00E96BD2"/>
    <w:rPr>
      <w:rFonts w:ascii="Arial" w:hAnsi="Arial" w:eastAsiaTheme="majorEastAsia" w:cstheme="majorBidi"/>
      <w:b/>
      <w:sz w:val="28"/>
      <w:szCs w:val="32"/>
    </w:rPr>
  </w:style>
  <w:style w:type="character" w:styleId="Strong">
    <w:name w:val="Strong"/>
    <w:basedOn w:val="DefaultParagraphFont"/>
    <w:qFormat/>
    <w:rsid w:val="00EF7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customXml" Target="../customXml/item2.xml"/><Relationship Id="rId15" Type="http://schemas.openxmlformats.org/officeDocument/2006/relationships/customXml" Target="../customXml/item3.xml"/><Relationship Id="rId10" Type="http://schemas.openxmlformats.org/officeDocument/2006/relationships/header" Target="header3.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2.xml"/></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teResources xmlns:xsd="http://www.w3.org/2001/XMLSchema" xmlns:xsi="http://www.w3.org/2001/XMLSchema-instance" xmlns="http://schemas.invenso.com/xbi/doc/TemplateResources.xsd">
  <Errors>
    <Images/>
  </Errors>
</TemplateResources>
</file>

<file path=customXml/item3.xml><?xml version="1.0" encoding="utf-8"?>
<ct:contentTypeSchema xmlns:ct="http://schemas.microsoft.com/office/2006/metadata/contentType" xmlns:ma="http://schemas.microsoft.com/office/2006/metadata/properties/metaAttributes" ct:_="" ma:_="" ma:contentTypeName="Document" ma:contentTypeID="0x010100406C1301BA7BBC4EB1D51F844F8DD9FA" ma:contentTypeVersion="18" ma:contentTypeDescription="Een nieuw document maken." ma:contentTypeScope="" ma:versionID="1a1a16533404f3dd4bf68114a328dde5">
  <xsd:schema xmlns:xsd="http://www.w3.org/2001/XMLSchema" xmlns:xs="http://www.w3.org/2001/XMLSchema" xmlns:p="http://schemas.microsoft.com/office/2006/metadata/properties" xmlns:ns2="593a63c5-4ce6-4281-bc35-d449f8fc1f89" xmlns:ns3="35e6295f-e0cb-4d6f-89dc-d5ba8eab85a9" targetNamespace="http://schemas.microsoft.com/office/2006/metadata/properties" ma:root="true" ma:fieldsID="4b51483052ffceab70a672b69001b0f2" ns2:_="" ns3:_="">
    <xsd:import namespace="593a63c5-4ce6-4281-bc35-d449f8fc1f89"/>
    <xsd:import namespace="35e6295f-e0cb-4d6f-89dc-d5ba8eab85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a63c5-4ce6-4281-bc35-d449f8fc1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543581e-0b94-4758-8292-7d6042a84f9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e6295f-e0cb-4d6f-89dc-d5ba8eab85a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90990f3-14e2-47eb-a0b0-421e24c78647}" ma:internalName="TaxCatchAll" ma:showField="CatchAllData" ma:web="35e6295f-e0cb-4d6f-89dc-d5ba8eab8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93a63c5-4ce6-4281-bc35-d449f8fc1f89">
      <Terms xmlns="http://schemas.microsoft.com/office/infopath/2007/PartnerControls"/>
    </lcf76f155ced4ddcb4097134ff3c332f>
    <TaxCatchAll xmlns="35e6295f-e0cb-4d6f-89dc-d5ba8eab85a9" xsi:nil="true"/>
  </documentManagement>
</p:properties>
</file>

<file path=customXml/itemProps1.xml><?xml version="1.0" encoding="utf-8"?>
<ds:datastoreItem xmlns:ds="http://schemas.openxmlformats.org/officeDocument/2006/customXml" ds:itemID="{D5ED4134-1E78-4FA4-A95A-390F7861F0AD}">
  <ds:schemaRefs>
    <ds:schemaRef ds:uri="http://schemas.openxmlformats.org/officeDocument/2006/bibliography"/>
  </ds:schemaRefs>
</ds:datastoreItem>
</file>

<file path=customXml/itemProps2.xml><?xml version="1.0" encoding="utf-8"?>
<ds:datastoreItem xmlns:ds="http://schemas.openxmlformats.org/officeDocument/2006/customXml" ds:itemID="{C914802C-29F2-437D-80F2-47ED8C716217}">
  <ds:schemaRefs>
    <ds:schemaRef ds:uri="http://www.w3.org/2001/XMLSchema"/>
    <ds:schemaRef ds:uri="http://schemas.invenso.com/xbi/doc/TemplateResources.xsd"/>
  </ds:schemaRefs>
</ds:datastoreItem>
</file>

<file path=customXml/itemProps3.xml><?xml version="1.0" encoding="utf-8"?>
<ds:datastoreItem xmlns:ds="http://schemas.openxmlformats.org/officeDocument/2006/customXml" ds:itemID="{144053A6-6471-4E40-A748-E324A571DC7F}"/>
</file>

<file path=customXml/itemProps4.xml><?xml version="1.0" encoding="utf-8"?>
<ds:datastoreItem xmlns:ds="http://schemas.openxmlformats.org/officeDocument/2006/customXml" ds:itemID="{DF9942BC-50EF-4037-ABAD-8787F8385C13}"/>
</file>

<file path=customXml/itemProps5.xml><?xml version="1.0" encoding="utf-8"?>
<ds:datastoreItem xmlns:ds="http://schemas.openxmlformats.org/officeDocument/2006/customXml" ds:itemID="{8029D0FC-7F22-4F24-A063-31E75E52683F}"/>
</file>

<file path=docProps/app.xml><?xml version="1.0" encoding="utf-8"?>
<Properties xmlns="http://schemas.openxmlformats.org/officeDocument/2006/extended-properties" xmlns:vt="http://schemas.openxmlformats.org/officeDocument/2006/docPropsVTypes">
  <Template>Normal</Template>
  <TotalTime>0</TotalTime>
  <Pages>3</Pages>
  <Words>107</Words>
  <Characters>590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Jonckheere</dc:creator>
  <cp:lastModifiedBy>Shana Jonckheere</cp:lastModifiedBy>
  <cp:revision>279</cp:revision>
  <dcterms:created xsi:type="dcterms:W3CDTF">2025-12-17T13:32:31Z</dcterms:created>
  <dcterms:modified xsi:type="dcterms:W3CDTF">2025-12-17T13:32:31Z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0x010100406C1301BA7BBC4EB1D51F844F8DD9FA</vt:lpwstr>
  </property>
</Properties>
</file>