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 w:rsidR="009B2B87" w14:paraId="6EBE00F3" w14:textId="7777777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14:paraId="521E1AC7" w14:textId="77777777" w:rsidTr="00CB665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D8" w:rsidRPr="000A68E8" w:rsidP="000A68E8" w14:paraId="0A3761F1" w14:textId="5BCF9E7C">
            <w:pPr>
              <w:pStyle w:val="Title"/>
            </w:pPr>
            <w:r>
              <w:t xml:space="preserve">besluit </w:t>
            </w:r>
            <w:r w:rsidR="006F5B6E">
              <w:t>Gemeenteraad</w:t>
            </w:r>
          </w:p>
          <w:p w:rsidR="00751FD8" w14:paraId="09B5112D" w14:textId="670CD6D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60"/>
              <w:gridCol w:w="7087"/>
            </w:tblGrid>
            <w:tr w14:paraId="785323C5" w14:textId="77777777" w:rsidTr="00224C3B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560" w:type="dxa"/>
                </w:tcPr>
                <w:p w:rsidR="00321B57" w:rsidP="00321B57" w14:paraId="3E3E9528" w14:textId="32E7F42C">
                  <w:pPr>
                    <w:pStyle w:val="NoSpacing"/>
                  </w:pPr>
                  <w:r>
                    <w:t>Zitting van</w:t>
                  </w:r>
                </w:p>
              </w:tc>
              <w:tc>
                <w:tcPr>
                  <w:tcW w:w="7087" w:type="dxa"/>
                </w:tcPr>
                <w:p w:rsidR="00321B57" w:rsidP="00321B57" w14:paraId="01ECE67E" w14:textId="796457DD">
                  <w:pPr>
                    <w:pStyle w:val="NoSpacing"/>
                  </w:pPr>
                  <w:r w:rsidR="005C0F81">
                    <w:t>24 juni 2025</w:t>
                  </w:r>
                </w:p>
              </w:tc>
            </w:tr>
            <w:tr w14:paraId="2F49A77C" w14:textId="77777777" w:rsidTr="00224C3B">
              <w:tblPrEx>
                <w:tblW w:w="0" w:type="auto"/>
                <w:tblLook w:val="04A0"/>
              </w:tblPrEx>
              <w:tc>
                <w:tcPr>
                  <w:tcW w:w="1560" w:type="dxa"/>
                </w:tcPr>
                <w:p w:rsidR="00321B57" w:rsidP="00321B57" w14:paraId="169CCEFB" w14:textId="6BDABC38">
                  <w:pPr>
                    <w:pStyle w:val="NoSpacing"/>
                  </w:pPr>
                  <w:r>
                    <w:t>Team</w:t>
                  </w:r>
                </w:p>
              </w:tc>
              <w:tc>
                <w:tcPr>
                  <w:tcW w:w="7087" w:type="dxa"/>
                </w:tcPr>
                <w:p w:rsidR="00321B57" w:rsidP="00321B57" w14:paraId="18BD3FEA" w14:textId="3971E744">
                  <w:pPr>
                    <w:pStyle w:val="NoSpacing"/>
                  </w:pPr>
                  <w:r>
                    <w:t>Financiën</w:t>
                  </w:r>
                </w:p>
              </w:tc>
            </w:tr>
            <w:tr w14:paraId="0DD312CE" w14:textId="77777777" w:rsidTr="00224C3B">
              <w:tblPrEx>
                <w:tblW w:w="0" w:type="auto"/>
                <w:tblLook w:val="04A0"/>
              </w:tblPrEx>
              <w:tc>
                <w:tcPr>
                  <w:tcW w:w="1560" w:type="dxa"/>
                </w:tcPr>
                <w:p w:rsidR="00321B57" w:rsidP="00321B57" w14:paraId="28AA6106" w14:textId="0BD93C5D">
                  <w:pPr>
                    <w:pStyle w:val="NoSpacing"/>
                  </w:pPr>
                  <w:r>
                    <w:t>Onderwerp</w:t>
                  </w:r>
                </w:p>
              </w:tc>
              <w:tc>
                <w:tcPr>
                  <w:tcW w:w="7087" w:type="dxa"/>
                </w:tcPr>
                <w:p w:rsidR="00321B57" w:rsidP="00321B57" w14:paraId="2B58EEEF" w14:textId="60B82E5A">
                  <w:pPr>
                    <w:pStyle w:val="NoSpacing"/>
                  </w:pPr>
                  <w:r w:rsidRPr="00907BC7">
                    <w:rPr>
                      <w:b/>
                      <w:bCs/>
                    </w:rPr>
                    <w:t>Vaststelling begrotingsrekening 2024 - Politiezone</w:t>
                  </w:r>
                </w:p>
              </w:tc>
            </w:tr>
          </w:tbl>
          <w:p w:rsidR="0061278D" w:rsidRPr="00CB6657" w:rsidP="00CB6657" w14:paraId="0260AECA" w14:textId="27A99AF8">
            <w:pPr>
              <w:pStyle w:val="NoSpacing"/>
              <w:rPr>
                <w:b/>
                <w:bCs/>
              </w:rPr>
            </w:pPr>
          </w:p>
        </w:tc>
      </w:tr>
    </w:tbl>
    <w:p w:rsidR="001C7628" w14:paraId="67F62241" w14:textId="372A930A">
      <w:r>
        <w:t xml:space="preserve"> </w:t>
      </w:r>
    </w:p>
    <w:p w:rsidR="00E535F5" w:rsidRPr="005C0F81" w:rsidP="005C0F81" w14:paraId="4A777AB4" w14:textId="562BF763">
      <w:r w:rsidRPr="005B3968">
        <w:rPr>
          <w:b/>
          <w:bCs/>
        </w:rPr>
        <w:t>Aanwezig:</w:t>
      </w:r>
      <w:r>
        <w:t xml:space="preserve"> </w:t>
      </w:r>
      <w:r>
        <w:t>Segers Willy</w:t>
      </w:r>
      <w:r>
        <w:t xml:space="preserve">, </w:t>
      </w:r>
      <w:r>
        <w:t>Van Hove Diane</w:t>
      </w:r>
      <w:r>
        <w:t xml:space="preserve">, </w:t>
      </w:r>
      <w:r>
        <w:t>De Schryver Reindert</w:t>
      </w:r>
      <w:r>
        <w:t xml:space="preserve">, </w:t>
      </w:r>
      <w:r>
        <w:t>Van den Houte Anneleen</w:t>
      </w:r>
      <w:r>
        <w:t xml:space="preserve">, </w:t>
      </w:r>
      <w:r>
        <w:t>Rons Alexis</w:t>
      </w:r>
      <w:r>
        <w:t xml:space="preserve">, </w:t>
      </w:r>
      <w:r>
        <w:t>Roesems Gino</w:t>
      </w:r>
      <w:r>
        <w:t xml:space="preserve">, </w:t>
      </w:r>
      <w:r>
        <w:t>Groenweghe Nele</w:t>
      </w:r>
      <w:r>
        <w:t xml:space="preserve">, </w:t>
      </w:r>
      <w:r>
        <w:t>Hellinckx Karine</w:t>
      </w:r>
      <w:r>
        <w:t xml:space="preserve">, </w:t>
      </w:r>
      <w:r>
        <w:t>De Win Harry</w:t>
      </w:r>
      <w:r>
        <w:t xml:space="preserve">, </w:t>
      </w:r>
      <w:r>
        <w:t>De Freyne David</w:t>
      </w:r>
      <w:r>
        <w:t xml:space="preserve">, </w:t>
      </w:r>
      <w:r>
        <w:t>De Jonge Jasper</w:t>
      </w:r>
      <w:r>
        <w:t xml:space="preserve">, </w:t>
      </w:r>
      <w:r>
        <w:t>Zelderloo Walter</w:t>
      </w:r>
      <w:r>
        <w:t xml:space="preserve">, </w:t>
      </w:r>
      <w:r>
        <w:t>Vanhee Fré</w:t>
      </w:r>
      <w:r>
        <w:t xml:space="preserve">, </w:t>
      </w:r>
      <w:r>
        <w:t>Walravens Jef</w:t>
      </w:r>
      <w:r>
        <w:t xml:space="preserve">, </w:t>
      </w:r>
      <w:r>
        <w:t>Van Roy Nils</w:t>
      </w:r>
      <w:r>
        <w:t xml:space="preserve">, </w:t>
      </w:r>
      <w:r>
        <w:t>Nijs Marianne</w:t>
      </w:r>
      <w:r>
        <w:t xml:space="preserve">, </w:t>
      </w:r>
      <w:r>
        <w:t>De Buyst Véronique</w:t>
      </w:r>
      <w:r>
        <w:t xml:space="preserve">, </w:t>
      </w:r>
      <w:r>
        <w:t>Mus Niki</w:t>
      </w:r>
      <w:r>
        <w:t xml:space="preserve">, </w:t>
      </w:r>
      <w:r>
        <w:t>Vergels Driss</w:t>
      </w:r>
      <w:r>
        <w:t xml:space="preserve">, </w:t>
      </w:r>
      <w:r>
        <w:t>Seyns Valérie</w:t>
      </w:r>
      <w:r>
        <w:t xml:space="preserve">, </w:t>
      </w:r>
      <w:r>
        <w:t>Merckx Lean</w:t>
      </w:r>
      <w:r>
        <w:t xml:space="preserve">, </w:t>
      </w:r>
      <w:r>
        <w:t>Liekens Goedele</w:t>
      </w:r>
      <w:r>
        <w:t xml:space="preserve">, </w:t>
      </w:r>
      <w:r>
        <w:t>Vanderoost Jef</w:t>
      </w:r>
      <w:r>
        <w:t xml:space="preserve">, </w:t>
      </w:r>
      <w:r>
        <w:t>Deleu Tinneke</w:t>
      </w:r>
      <w:r>
        <w:t xml:space="preserve">, </w:t>
      </w:r>
      <w:r>
        <w:t>Nevens Bart</w:t>
      </w:r>
      <w:r>
        <w:t xml:space="preserve">, </w:t>
      </w:r>
      <w:r>
        <w:t>hoffmans Nathalie</w:t>
      </w:r>
      <w:r>
        <w:t xml:space="preserve">, </w:t>
      </w:r>
      <w:r>
        <w:t>Dierickx Evi</w:t>
      </w:r>
      <w:r>
        <w:t xml:space="preserve">, </w:t>
      </w:r>
      <w:r>
        <w:t>Valtin Katleen</w:t>
      </w:r>
      <w:r>
        <w:t xml:space="preserve">, </w:t>
      </w:r>
      <w:r>
        <w:t>Janssens Linda</w:t>
      </w:r>
      <w:r>
        <w:t xml:space="preserve">, </w:t>
      </w:r>
      <w:r>
        <w:t>Quaghebeur Stijn</w:t>
      </w:r>
      <w:r>
        <w:t xml:space="preserve">, </w:t>
      </w:r>
      <w:r>
        <w:t>Vereecke Liesbet</w:t>
      </w:r>
      <w:r>
        <w:t xml:space="preserve">, </w:t>
      </w:r>
      <w:r>
        <w:t>De Dobbeleer Frank</w:t>
      </w:r>
      <w:r>
        <w:t xml:space="preserve">, </w:t>
      </w:r>
      <w:r>
        <w:t>Willen Marc</w:t>
      </w:r>
      <w:r>
        <w:t xml:space="preserve">, </w:t>
      </w:r>
      <w:r>
        <w:t>Erkelbout Jan</w:t>
      </w:r>
    </w:p>
    <w:p w:rsidR="00E535F5" w:rsidRPr="00CF488B" w:rsidP="001A0749" w14:paraId="76DAF697" w14:textId="77777777">
      <w:pPr>
        <w:spacing w:before="360" w:line="276" w:lineRule="auto"/>
        <w:rPr>
          <w:b/>
          <w:sz w:val="22"/>
        </w:rPr>
      </w:pPr>
      <w:r w:rsidRPr="00CF488B">
        <w:rPr>
          <w:b/>
          <w:sz w:val="22"/>
        </w:rPr>
        <w:t>Toelichting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t>De begrotingsrekening en jaarrekening 2024 voor de politiezone Dilbeek werden opgemaakt.</w:t>
      </w:r>
    </w:p>
    <w:p w:rsidR="00E535F5" w:rsidRPr="00CF488B" w:rsidP="00E535F5" w14:paraId="129799EE" w14:textId="77777777">
      <w:pPr>
        <w:spacing w:before="240" w:line="276" w:lineRule="auto"/>
        <w:rPr>
          <w:b/>
          <w:sz w:val="22"/>
        </w:rPr>
      </w:pPr>
      <w:r w:rsidRPr="00CF488B">
        <w:rPr>
          <w:b/>
          <w:sz w:val="22"/>
        </w:rPr>
        <w:t>Juridisch kader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t>· Wet van 07.12.1998: organisatie van een geïntegreerde politiedienst, gestructureerd op twee niveaus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t>· KB 05.09.2001: algemeen reglement op de boekhouding van de lokale politie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t>· Nieuwe Gemeentewet 24.06.1988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t>· Besluit GR 19.12.2023: Begroting 2024</w:t>
      </w:r>
    </w:p>
    <w:p w:rsidR="00AC25A8" w:rsidP="00AC25A8" w14:paraId="397B387F" w14:textId="77777777">
      <w:pPr>
        <w:spacing w:before="240" w:line="276" w:lineRule="auto"/>
        <w:rPr>
          <w:b/>
          <w:sz w:val="22"/>
        </w:rPr>
      </w:pPr>
      <w:r w:rsidRPr="00CF488B">
        <w:rPr>
          <w:b/>
          <w:sz w:val="22"/>
        </w:rPr>
        <w:t xml:space="preserve">Beslissing </w:t>
      </w:r>
    </w:p>
    <w:p w:rsidR="00A77B3E">
      <w:pPr>
        <w:rPr>
          <w:lang w:val="nl-BE" w:eastAsia="nl-BE"/>
        </w:rPr>
      </w:pPr>
      <w:r>
        <w:rPr>
          <w:b/>
          <w:bCs/>
          <w:lang w:val="nl-BE" w:eastAsia="nl-BE"/>
        </w:rPr>
        <w:t>Met algemene stemmen</w:t>
      </w:r>
    </w:p>
    <w:p w:rsidR="00A77B3E">
      <w:pPr>
        <w:rPr>
          <w:lang w:val="nl-BE" w:eastAsia="nl-BE"/>
        </w:rPr>
      </w:pPr>
      <w:r>
        <w:rPr>
          <w:b/>
          <w:bCs/>
          <w:lang w:val="nl-BE" w:eastAsia="nl-BE"/>
        </w:rPr>
        <w:t>Artikel 1.</w:t>
      </w:r>
      <w:r>
        <w:rPr>
          <w:lang w:val="nl-BE" w:eastAsia="nl-BE"/>
        </w:rPr>
        <w:t> De begrotingsrekening en de jaarrekening 2024 voor de politiezone Dilbeek worden vastgesteld met volgende cijfers: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t>​</w:t>
      </w:r>
    </w:p>
    <w:tbl>
      <w:tblPr>
        <w:tblStyle w:val="say-table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878"/>
        <w:gridCol w:w="1395"/>
        <w:gridCol w:w="1917"/>
        <w:gridCol w:w="1354"/>
      </w:tblGrid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 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Gewone dienst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Buitengewone dienst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Totaal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 1. Vastgestelde rechten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17.457.246,95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854.334,66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18.311.581,61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- onverhaalbare en oninvorderbare rechten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25,00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25,00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= netto vastgestelde rechten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17.457.221,95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854.334,66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18.311.556,61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- vastleggingen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14.344.317,39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854.334,66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15.198.652,05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= begrotingsresultaat (POS)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3.112.904,56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0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3.112.904,56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2. Netto vastgestelde rechten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17.457.221,95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854.334,66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15.198.652,05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- aanrekeningen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13.684.394,58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381.862,26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14.066.256,84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= Boekhoudkundig resultaat (POS)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3.772.827,37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472.472,40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4.245.299,77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3. Vastleggingen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14.344.317,39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854.334,66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15.198.652,05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- Aanrekeningen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13.684.394,58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381.862,26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14.066.256,84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= Over te dragen vastleggingen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659.922,81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472.472,40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1.132.395,21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</w:tr>
    </w:tbl>
    <w:p w:rsidR="00A77B3E">
      <w:pPr>
        <w:rPr>
          <w:lang w:val="nl-BE" w:eastAsia="nl-BE"/>
        </w:rPr>
      </w:pPr>
      <w:r>
        <w:rPr>
          <w:lang w:val="nl-BE" w:eastAsia="nl-BE"/>
        </w:rPr>
        <w:t> </w:t>
      </w:r>
    </w:p>
    <w:p w:rsidR="00A77B3E">
      <w:pPr>
        <w:rPr>
          <w:lang w:val="nl-BE" w:eastAsia="nl-BE"/>
        </w:rPr>
      </w:pPr>
      <w:r>
        <w:rPr>
          <w:lang w:val="nl-BE" w:eastAsia="nl-BE"/>
        </w:rPr>
        <w:br/>
      </w:r>
      <w:r>
        <w:rPr>
          <w:lang w:val="nl-BE" w:eastAsia="nl-BE"/>
        </w:rPr>
        <w:t>​</w:t>
      </w:r>
    </w:p>
    <w:tbl>
      <w:tblPr>
        <w:tblStyle w:val="say-table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021"/>
        <w:gridCol w:w="1284"/>
        <w:gridCol w:w="81"/>
      </w:tblGrid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 xml:space="preserve">Totaal van de activa 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9.421.919,00 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​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Vaste activa​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4.387.047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​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Vlottende activa​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5.034.872,00 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​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Totaal van de passiva​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9.421.919,00 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Eigen vermogen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8.348.620,00 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Voorzieningen​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0​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Schulden​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​1.073.299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</w:p>
        </w:tc>
      </w:tr>
    </w:tbl>
    <w:p w:rsidR="00A77B3E">
      <w:pPr>
        <w:rPr>
          <w:lang w:val="nl-BE" w:eastAsia="nl-BE"/>
        </w:rPr>
      </w:pPr>
    </w:p>
    <w:tbl>
      <w:tblPr>
        <w:tblStyle w:val="say-table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455"/>
        <w:gridCol w:w="1299"/>
      </w:tblGrid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Resultaat van het dienstjaar (negatief)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2.078.000,00 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Exploitatieresultaat​ (negatief)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25.601,00 </w:t>
            </w:r>
          </w:p>
        </w:tc>
      </w:tr>
      <w:tr>
        <w:tblPrEx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Uitzonderlijk resultaat​ (negatief)</w:t>
            </w:r>
          </w:p>
        </w:tc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B3E">
            <w:pPr>
              <w:rPr>
                <w:lang w:val="nl-BE" w:eastAsia="nl-BE"/>
              </w:rPr>
            </w:pPr>
            <w:r>
              <w:rPr>
                <w:lang w:val="nl-BE" w:eastAsia="nl-BE"/>
              </w:rPr>
              <w:t>2.052.399,00 </w:t>
            </w:r>
          </w:p>
        </w:tc>
      </w:tr>
    </w:tbl>
    <w:p w:rsidR="00A77B3E">
      <w:pPr>
        <w:rPr>
          <w:lang w:val="nl-BE" w:eastAsia="nl-BE"/>
        </w:rPr>
      </w:pPr>
      <w:r>
        <w:rPr>
          <w:lang w:val="nl-BE" w:eastAsia="nl-BE"/>
        </w:rPr>
        <w:t>​</w:t>
      </w:r>
      <w:r>
        <w:rPr>
          <w:lang w:val="nl-BE" w:eastAsia="nl-BE"/>
        </w:rPr>
        <w:br/>
      </w:r>
      <w:r>
        <w:rPr>
          <w:b/>
          <w:bCs/>
          <w:lang w:val="nl-BE" w:eastAsia="nl-BE"/>
        </w:rPr>
        <w:t xml:space="preserve">Artikel 2. </w:t>
      </w:r>
      <w:r>
        <w:rPr>
          <w:lang w:val="nl-BE" w:eastAsia="nl-BE"/>
        </w:rPr>
        <w:t>De jaarrekening wordt voor goedkeuring overgemaakt aan het politietoezicht.</w:t>
      </w:r>
    </w:p>
    <w:p w:rsidR="00E535F5" w:rsidP="00AC25A8" w14:paraId="7A64E8D2" w14:textId="7683CDCD">
      <w:pPr>
        <w:spacing w:before="240" w:line="276" w:lineRule="auto"/>
      </w:pPr>
    </w:p>
    <w:p w:rsidR="00C5303E" w:rsidP="00863E6C" w14:paraId="584168D6" w14:textId="77777777">
      <w:pPr>
        <w:jc w:val="center"/>
        <w:rPr>
          <w:b/>
        </w:rPr>
      </w:pPr>
    </w:p>
    <w:p w:rsidR="00F75F00" w:rsidP="00863E6C" w14:paraId="273E9D91" w14:textId="33A510A0">
      <w:pPr>
        <w:jc w:val="center"/>
        <w:rPr>
          <w:b/>
        </w:rPr>
      </w:pPr>
      <w:r w:rsidRPr="006E614E">
        <w:rPr>
          <w:b/>
        </w:rPr>
        <w:t>Namens</w:t>
      </w:r>
      <w:r w:rsidR="006F5B6E">
        <w:rPr>
          <w:b/>
        </w:rPr>
        <w:t xml:space="preserve"> </w:t>
      </w:r>
      <w:r w:rsidR="006F5B6E">
        <w:rPr>
          <w:b/>
        </w:rPr>
        <w:t>Gemeenteraad</w:t>
      </w:r>
      <w:r w:rsidRPr="006E614E">
        <w:rPr>
          <w:b/>
        </w:rPr>
        <w:t>,</w:t>
      </w:r>
    </w:p>
    <w:p w:rsidR="00C74730" w:rsidP="00863E6C" w14:paraId="6A236B67" w14:textId="0FB370AB">
      <w:pPr>
        <w:jc w:val="center"/>
        <w:rPr>
          <w:b/>
        </w:rPr>
      </w:pPr>
      <w:r>
        <w:rPr>
          <w:b/>
        </w:rPr>
        <w:t>voor eensluidend afschrift</w:t>
      </w:r>
    </w:p>
    <w:tbl>
      <w:tblPr>
        <w:tblStyle w:val="TableGrid"/>
        <w:tblW w:w="6803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283"/>
        <w:gridCol w:w="3544"/>
      </w:tblGrid>
      <w:tr w14:paraId="14440A00" w14:textId="77777777" w:rsidTr="00D31999">
        <w:tblPrEx>
          <w:tblW w:w="6803" w:type="dxa"/>
          <w:tblInd w:w="1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76" w:type="dxa"/>
          </w:tcPr>
          <w:p w:rsidR="00E65343" w:rsidRPr="00C447E9" w:rsidP="00D065BA" w14:paraId="032A1EE7" w14:textId="00117286">
            <w:r>
              <w:t>[SIG01]</w:t>
            </w:r>
          </w:p>
        </w:tc>
        <w:tc>
          <w:tcPr>
            <w:tcW w:w="283" w:type="dxa"/>
          </w:tcPr>
          <w:p w:rsidR="006E614E" w:rsidP="006E614E" w14:paraId="01F0317A" w14:textId="7777777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B54E3E" w:rsidRPr="00D065BA" w:rsidP="00D065BA" w14:paraId="3E77C818" w14:textId="73317BBF">
            <w:r>
              <w:t>[SIG02]</w:t>
            </w:r>
          </w:p>
        </w:tc>
      </w:tr>
    </w:tbl>
    <w:p w:rsidR="00817AB9" w:rsidRPr="00D065BA" w:rsidP="007170E2" w14:paraId="10680465" w14:textId="312B8C3D">
      <w:pPr>
        <w:spacing w:after="160" w:line="259" w:lineRule="auto"/>
      </w:pPr>
    </w:p>
    <w:sectPr w:rsidSect="00F17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B86" w14:paraId="023262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6FE" w:rsidRPr="002D04CD" w14:paraId="256A8699" w14:textId="204289A1">
    <w:pPr>
      <w:pStyle w:val="Footer"/>
    </w:pPr>
    <w:r>
      <w:tab/>
    </w:r>
    <w:r>
      <w:tab/>
    </w:r>
    <w:r w:rsidRPr="005D5798">
      <w:rPr>
        <w:sz w:val="18"/>
        <w:szCs w:val="20"/>
      </w:rPr>
      <w:fldChar w:fldCharType="begin"/>
    </w:r>
    <w:r w:rsidRPr="005D5798">
      <w:rPr>
        <w:sz w:val="18"/>
        <w:szCs w:val="20"/>
      </w:rPr>
      <w:instrText>PAGE  \* Arabic  \* MERGEFORMAT</w:instrText>
    </w:r>
    <w:r w:rsidRPr="005D5798">
      <w:rPr>
        <w:sz w:val="18"/>
        <w:szCs w:val="20"/>
      </w:rPr>
      <w:fldChar w:fldCharType="separate"/>
    </w:r>
    <w:r w:rsidRPr="005D5798">
      <w:rPr>
        <w:sz w:val="18"/>
        <w:szCs w:val="20"/>
        <w:lang w:val="nl-NL"/>
      </w:rPr>
      <w:t>2</w:t>
    </w:r>
    <w:r w:rsidRPr="005D5798">
      <w:rPr>
        <w:sz w:val="18"/>
        <w:szCs w:val="20"/>
      </w:rPr>
      <w:fldChar w:fldCharType="end"/>
    </w:r>
    <w:r w:rsidRPr="005D5798">
      <w:rPr>
        <w:sz w:val="18"/>
        <w:szCs w:val="20"/>
        <w:lang w:val="nl-NL"/>
      </w:rPr>
      <w:t xml:space="preserve"> | </w:t>
    </w:r>
    <w:r w:rsidRPr="005D5798" w:rsidR="00661550">
      <w:rPr>
        <w:sz w:val="18"/>
        <w:szCs w:val="20"/>
      </w:rPr>
      <w:fldChar w:fldCharType="begin"/>
    </w:r>
    <w:r w:rsidRPr="005D5798" w:rsidR="00661550">
      <w:rPr>
        <w:sz w:val="18"/>
        <w:szCs w:val="20"/>
      </w:rPr>
      <w:instrText>NUMPAGES  \* Arabic  \* MERGEFORMAT</w:instrText>
    </w:r>
    <w:r w:rsidRPr="005D5798" w:rsidR="00661550">
      <w:rPr>
        <w:sz w:val="18"/>
        <w:szCs w:val="20"/>
      </w:rPr>
      <w:fldChar w:fldCharType="separate"/>
    </w:r>
    <w:r w:rsidRPr="005D5798">
      <w:rPr>
        <w:sz w:val="18"/>
        <w:szCs w:val="20"/>
        <w:lang w:val="nl-NL"/>
      </w:rPr>
      <w:t>2</w:t>
    </w:r>
    <w:r w:rsidRPr="005D5798" w:rsidR="00661550">
      <w:rPr>
        <w:sz w:val="18"/>
        <w:szCs w:val="20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6FE" w:rsidRPr="00F82D14" w14:paraId="612495F8" w14:textId="28D528D5">
    <w:pPr>
      <w:pStyle w:val="Footer"/>
      <w:rPr>
        <w:sz w:val="18"/>
        <w:szCs w:val="20"/>
      </w:rPr>
    </w:pPr>
    <w:r>
      <w:rPr>
        <w:sz w:val="18"/>
        <w:szCs w:val="20"/>
      </w:rPr>
      <w:tab/>
    </w:r>
    <w:r>
      <w:rPr>
        <w:sz w:val="18"/>
        <w:szCs w:val="20"/>
      </w:rPr>
      <w:tab/>
    </w:r>
    <w:r w:rsidRPr="00A81BE5">
      <w:rPr>
        <w:sz w:val="18"/>
        <w:szCs w:val="18"/>
        <w:lang w:val="nl-NL"/>
      </w:rPr>
      <w:t xml:space="preserve"> </w:t>
    </w:r>
    <w:r w:rsidRPr="00A81BE5">
      <w:rPr>
        <w:sz w:val="18"/>
        <w:szCs w:val="18"/>
      </w:rPr>
      <w:fldChar w:fldCharType="begin"/>
    </w:r>
    <w:r w:rsidRPr="00A81BE5">
      <w:rPr>
        <w:sz w:val="18"/>
        <w:szCs w:val="18"/>
      </w:rPr>
      <w:instrText>PAGE  \* Arabic  \* MERGEFORMAT</w:instrText>
    </w:r>
    <w:r w:rsidRPr="00A81BE5">
      <w:rPr>
        <w:sz w:val="18"/>
        <w:szCs w:val="18"/>
      </w:rPr>
      <w:fldChar w:fldCharType="separate"/>
    </w:r>
    <w:r w:rsidRPr="00A81BE5">
      <w:rPr>
        <w:sz w:val="18"/>
        <w:szCs w:val="18"/>
        <w:lang w:val="nl-NL"/>
      </w:rPr>
      <w:t>1</w:t>
    </w:r>
    <w:r w:rsidRPr="00A81BE5">
      <w:rPr>
        <w:sz w:val="18"/>
        <w:szCs w:val="18"/>
      </w:rPr>
      <w:fldChar w:fldCharType="end"/>
    </w:r>
    <w:r w:rsidRPr="00A81BE5">
      <w:rPr>
        <w:sz w:val="18"/>
        <w:szCs w:val="18"/>
        <w:lang w:val="nl-NL"/>
      </w:rPr>
      <w:t xml:space="preserve"> | </w:t>
    </w:r>
    <w:r w:rsidRPr="00A81BE5">
      <w:rPr>
        <w:sz w:val="18"/>
        <w:szCs w:val="18"/>
      </w:rPr>
      <w:fldChar w:fldCharType="begin"/>
    </w:r>
    <w:r w:rsidRPr="00A81BE5">
      <w:rPr>
        <w:sz w:val="18"/>
        <w:szCs w:val="18"/>
      </w:rPr>
      <w:instrText>NUMPAGES  \* Arabic  \* MERGEFORMAT</w:instrText>
    </w:r>
    <w:r w:rsidRPr="00A81BE5">
      <w:rPr>
        <w:sz w:val="18"/>
        <w:szCs w:val="18"/>
      </w:rPr>
      <w:fldChar w:fldCharType="separate"/>
    </w:r>
    <w:r w:rsidRPr="00A81BE5">
      <w:rPr>
        <w:sz w:val="18"/>
        <w:szCs w:val="18"/>
        <w:lang w:val="nl-NL"/>
      </w:rPr>
      <w:t>2</w:t>
    </w:r>
    <w:r w:rsidRPr="00A81BE5"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B86" w14:paraId="30F401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0E3" w:rsidP="00EA60E3" w14:paraId="651CE6C7" w14:textId="39CCBBE6">
    <w:pPr>
      <w:pStyle w:val="Header"/>
      <w:tabs>
        <w:tab w:val="clear" w:pos="4536"/>
      </w:tabs>
    </w:pPr>
    <w:r>
      <w:t xml:space="preserve">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6FE" w:rsidRPr="005842BB" w:rsidP="009C5A85" w14:paraId="44041B41" w14:textId="2922AAAC">
    <w:pPr>
      <w:pStyle w:val="Header"/>
      <w:tabs>
        <w:tab w:val="clear" w:pos="4536"/>
      </w:tabs>
    </w:pPr>
    <w:r w:rsidR="007541F9">
      <w:drawing>
        <wp:inline distT="0" distB="0" distL="0" distR="0">
          <wp:extent cx="1263599" cy="254299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63599" cy="2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68E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60E3"/>
    <w:rsid w:val="000075DE"/>
    <w:rsid w:val="00011255"/>
    <w:rsid w:val="00011DAE"/>
    <w:rsid w:val="000160E0"/>
    <w:rsid w:val="000254B3"/>
    <w:rsid w:val="00025869"/>
    <w:rsid w:val="00052B29"/>
    <w:rsid w:val="000604DB"/>
    <w:rsid w:val="000612E1"/>
    <w:rsid w:val="0006388B"/>
    <w:rsid w:val="00087778"/>
    <w:rsid w:val="00090438"/>
    <w:rsid w:val="00092E2C"/>
    <w:rsid w:val="000979EA"/>
    <w:rsid w:val="000A68E8"/>
    <w:rsid w:val="000C5E14"/>
    <w:rsid w:val="000D56F3"/>
    <w:rsid w:val="001144EF"/>
    <w:rsid w:val="0012123C"/>
    <w:rsid w:val="00123988"/>
    <w:rsid w:val="00145BCB"/>
    <w:rsid w:val="0015061E"/>
    <w:rsid w:val="00166B67"/>
    <w:rsid w:val="001703EE"/>
    <w:rsid w:val="0017083A"/>
    <w:rsid w:val="00181009"/>
    <w:rsid w:val="001A0749"/>
    <w:rsid w:val="001A79A6"/>
    <w:rsid w:val="001C372E"/>
    <w:rsid w:val="001C67D8"/>
    <w:rsid w:val="001C7628"/>
    <w:rsid w:val="001D23E5"/>
    <w:rsid w:val="001E18BB"/>
    <w:rsid w:val="001E5B86"/>
    <w:rsid w:val="001F0A9D"/>
    <w:rsid w:val="001F682C"/>
    <w:rsid w:val="00224C3B"/>
    <w:rsid w:val="002301F5"/>
    <w:rsid w:val="00230944"/>
    <w:rsid w:val="00256B8F"/>
    <w:rsid w:val="002677FC"/>
    <w:rsid w:val="00285E6C"/>
    <w:rsid w:val="00286116"/>
    <w:rsid w:val="002959EB"/>
    <w:rsid w:val="002A1178"/>
    <w:rsid w:val="002B2644"/>
    <w:rsid w:val="002B6030"/>
    <w:rsid w:val="002C118D"/>
    <w:rsid w:val="002C5BF3"/>
    <w:rsid w:val="002D04CD"/>
    <w:rsid w:val="002E5CD9"/>
    <w:rsid w:val="00302909"/>
    <w:rsid w:val="00320618"/>
    <w:rsid w:val="00321B57"/>
    <w:rsid w:val="0032264A"/>
    <w:rsid w:val="00324B6A"/>
    <w:rsid w:val="00332337"/>
    <w:rsid w:val="00336886"/>
    <w:rsid w:val="00337D35"/>
    <w:rsid w:val="0034006E"/>
    <w:rsid w:val="00352553"/>
    <w:rsid w:val="00352E43"/>
    <w:rsid w:val="0035730B"/>
    <w:rsid w:val="00363AB8"/>
    <w:rsid w:val="00370730"/>
    <w:rsid w:val="00375AF5"/>
    <w:rsid w:val="0038438A"/>
    <w:rsid w:val="00386D3F"/>
    <w:rsid w:val="00391FF6"/>
    <w:rsid w:val="00392DB9"/>
    <w:rsid w:val="00392DEE"/>
    <w:rsid w:val="003D3CC0"/>
    <w:rsid w:val="003D7548"/>
    <w:rsid w:val="003F1AEE"/>
    <w:rsid w:val="00441530"/>
    <w:rsid w:val="004553A2"/>
    <w:rsid w:val="00463125"/>
    <w:rsid w:val="00471133"/>
    <w:rsid w:val="00471E41"/>
    <w:rsid w:val="004A3347"/>
    <w:rsid w:val="004A50F8"/>
    <w:rsid w:val="004A7AC3"/>
    <w:rsid w:val="004B546A"/>
    <w:rsid w:val="004E0508"/>
    <w:rsid w:val="004E56A2"/>
    <w:rsid w:val="004F4ABE"/>
    <w:rsid w:val="004F56F9"/>
    <w:rsid w:val="00511B6F"/>
    <w:rsid w:val="00531EF9"/>
    <w:rsid w:val="00531F9D"/>
    <w:rsid w:val="0057088E"/>
    <w:rsid w:val="00581D21"/>
    <w:rsid w:val="005842BB"/>
    <w:rsid w:val="00585EDE"/>
    <w:rsid w:val="005B3968"/>
    <w:rsid w:val="005C0F81"/>
    <w:rsid w:val="005C650F"/>
    <w:rsid w:val="005C7834"/>
    <w:rsid w:val="005D5798"/>
    <w:rsid w:val="005D6C46"/>
    <w:rsid w:val="005F1E32"/>
    <w:rsid w:val="005F5513"/>
    <w:rsid w:val="00600B1B"/>
    <w:rsid w:val="006037A7"/>
    <w:rsid w:val="00610AED"/>
    <w:rsid w:val="0061278D"/>
    <w:rsid w:val="0061546A"/>
    <w:rsid w:val="0063544E"/>
    <w:rsid w:val="00635FC7"/>
    <w:rsid w:val="00642F2E"/>
    <w:rsid w:val="00646FD6"/>
    <w:rsid w:val="00655CBE"/>
    <w:rsid w:val="00661550"/>
    <w:rsid w:val="00672BAD"/>
    <w:rsid w:val="00673A82"/>
    <w:rsid w:val="006B12E3"/>
    <w:rsid w:val="006D7FD5"/>
    <w:rsid w:val="006E614E"/>
    <w:rsid w:val="006F05F2"/>
    <w:rsid w:val="006F5B6E"/>
    <w:rsid w:val="006F6212"/>
    <w:rsid w:val="00714D3F"/>
    <w:rsid w:val="007170E2"/>
    <w:rsid w:val="00732112"/>
    <w:rsid w:val="00733F43"/>
    <w:rsid w:val="00736929"/>
    <w:rsid w:val="00744ECD"/>
    <w:rsid w:val="00750281"/>
    <w:rsid w:val="00751FD8"/>
    <w:rsid w:val="0075274D"/>
    <w:rsid w:val="007541F9"/>
    <w:rsid w:val="007767EA"/>
    <w:rsid w:val="00784650"/>
    <w:rsid w:val="0079042E"/>
    <w:rsid w:val="00790F0D"/>
    <w:rsid w:val="00796E6F"/>
    <w:rsid w:val="007A0B79"/>
    <w:rsid w:val="007A2B30"/>
    <w:rsid w:val="007C2254"/>
    <w:rsid w:val="007C386D"/>
    <w:rsid w:val="007C5485"/>
    <w:rsid w:val="00801FFD"/>
    <w:rsid w:val="00802B21"/>
    <w:rsid w:val="00817AB9"/>
    <w:rsid w:val="00840C4C"/>
    <w:rsid w:val="008449A9"/>
    <w:rsid w:val="008450B6"/>
    <w:rsid w:val="00850461"/>
    <w:rsid w:val="00852824"/>
    <w:rsid w:val="00863E6C"/>
    <w:rsid w:val="00864671"/>
    <w:rsid w:val="008705C7"/>
    <w:rsid w:val="0087788D"/>
    <w:rsid w:val="008825F4"/>
    <w:rsid w:val="008876FE"/>
    <w:rsid w:val="008B07E0"/>
    <w:rsid w:val="008C25EF"/>
    <w:rsid w:val="008C4055"/>
    <w:rsid w:val="008E0717"/>
    <w:rsid w:val="00905AC3"/>
    <w:rsid w:val="00905FCF"/>
    <w:rsid w:val="00907BC7"/>
    <w:rsid w:val="00913C2F"/>
    <w:rsid w:val="00925E9C"/>
    <w:rsid w:val="009333D9"/>
    <w:rsid w:val="00945A70"/>
    <w:rsid w:val="00963DB5"/>
    <w:rsid w:val="00965B66"/>
    <w:rsid w:val="00976F93"/>
    <w:rsid w:val="00982CE9"/>
    <w:rsid w:val="00984AE8"/>
    <w:rsid w:val="00995786"/>
    <w:rsid w:val="0099797C"/>
    <w:rsid w:val="009B078E"/>
    <w:rsid w:val="009B2B87"/>
    <w:rsid w:val="009C393E"/>
    <w:rsid w:val="009C5A85"/>
    <w:rsid w:val="009E5EBF"/>
    <w:rsid w:val="009F76AB"/>
    <w:rsid w:val="00A019D2"/>
    <w:rsid w:val="00A067A1"/>
    <w:rsid w:val="00A106E7"/>
    <w:rsid w:val="00A221F5"/>
    <w:rsid w:val="00A27D94"/>
    <w:rsid w:val="00A33955"/>
    <w:rsid w:val="00A43090"/>
    <w:rsid w:val="00A608F8"/>
    <w:rsid w:val="00A66127"/>
    <w:rsid w:val="00A75795"/>
    <w:rsid w:val="00A75B73"/>
    <w:rsid w:val="00A77B3E"/>
    <w:rsid w:val="00A80714"/>
    <w:rsid w:val="00A81BE5"/>
    <w:rsid w:val="00AA0E70"/>
    <w:rsid w:val="00AC25A8"/>
    <w:rsid w:val="00AD2FCC"/>
    <w:rsid w:val="00AF0727"/>
    <w:rsid w:val="00AF2ECA"/>
    <w:rsid w:val="00AF684D"/>
    <w:rsid w:val="00AF6F78"/>
    <w:rsid w:val="00B34FC0"/>
    <w:rsid w:val="00B46E3D"/>
    <w:rsid w:val="00B54E3E"/>
    <w:rsid w:val="00B67632"/>
    <w:rsid w:val="00B7345C"/>
    <w:rsid w:val="00B75345"/>
    <w:rsid w:val="00BF5773"/>
    <w:rsid w:val="00C048D2"/>
    <w:rsid w:val="00C07C40"/>
    <w:rsid w:val="00C25981"/>
    <w:rsid w:val="00C3460B"/>
    <w:rsid w:val="00C40C72"/>
    <w:rsid w:val="00C447E9"/>
    <w:rsid w:val="00C5303E"/>
    <w:rsid w:val="00C669D0"/>
    <w:rsid w:val="00C66B3A"/>
    <w:rsid w:val="00C74730"/>
    <w:rsid w:val="00C7772A"/>
    <w:rsid w:val="00C87912"/>
    <w:rsid w:val="00C96CE5"/>
    <w:rsid w:val="00CA3724"/>
    <w:rsid w:val="00CA7EA2"/>
    <w:rsid w:val="00CB149E"/>
    <w:rsid w:val="00CB6657"/>
    <w:rsid w:val="00CB6EEE"/>
    <w:rsid w:val="00CE7A87"/>
    <w:rsid w:val="00CF488B"/>
    <w:rsid w:val="00D065BA"/>
    <w:rsid w:val="00D1222E"/>
    <w:rsid w:val="00D139F7"/>
    <w:rsid w:val="00D2300E"/>
    <w:rsid w:val="00D2625B"/>
    <w:rsid w:val="00D31999"/>
    <w:rsid w:val="00D45B74"/>
    <w:rsid w:val="00D676EF"/>
    <w:rsid w:val="00D8795A"/>
    <w:rsid w:val="00DC32A1"/>
    <w:rsid w:val="00DC7E43"/>
    <w:rsid w:val="00DE48F3"/>
    <w:rsid w:val="00DF77AF"/>
    <w:rsid w:val="00E00C17"/>
    <w:rsid w:val="00E16DBC"/>
    <w:rsid w:val="00E4049A"/>
    <w:rsid w:val="00E4094D"/>
    <w:rsid w:val="00E51425"/>
    <w:rsid w:val="00E51DB2"/>
    <w:rsid w:val="00E535F5"/>
    <w:rsid w:val="00E65343"/>
    <w:rsid w:val="00E96BD2"/>
    <w:rsid w:val="00E96E04"/>
    <w:rsid w:val="00EA60E3"/>
    <w:rsid w:val="00EB00C4"/>
    <w:rsid w:val="00ED3020"/>
    <w:rsid w:val="00ED4D15"/>
    <w:rsid w:val="00ED5FFF"/>
    <w:rsid w:val="00EE5927"/>
    <w:rsid w:val="00F177D6"/>
    <w:rsid w:val="00F23564"/>
    <w:rsid w:val="00F23AF2"/>
    <w:rsid w:val="00F458C3"/>
    <w:rsid w:val="00F549FF"/>
    <w:rsid w:val="00F7472F"/>
    <w:rsid w:val="00F75F00"/>
    <w:rsid w:val="00F80A67"/>
    <w:rsid w:val="00F82D14"/>
    <w:rsid w:val="00FB1AEE"/>
    <w:rsid w:val="00FB3B56"/>
    <w:rsid w:val="00FD4EF0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A654D3"/>
  <w15:docId w15:val="{678A6375-42BA-438A-985F-3B67B71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ndaardtekst"/>
    <w:qFormat/>
    <w:rsid w:val="0015061E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Kop1Char"/>
    <w:uiPriority w:val="9"/>
    <w:qFormat/>
    <w:rsid w:val="00E96BD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uiPriority w:val="99"/>
    <w:unhideWhenUsed/>
    <w:rsid w:val="00EA60E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DefaultParagraphFont"/>
    <w:link w:val="Header"/>
    <w:uiPriority w:val="99"/>
    <w:rsid w:val="00EA60E3"/>
  </w:style>
  <w:style w:type="paragraph" w:styleId="Footer">
    <w:name w:val="footer"/>
    <w:basedOn w:val="Normal"/>
    <w:link w:val="VoettekstChar"/>
    <w:uiPriority w:val="99"/>
    <w:unhideWhenUsed/>
    <w:rsid w:val="00EA60E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DefaultParagraphFont"/>
    <w:link w:val="Footer"/>
    <w:uiPriority w:val="99"/>
    <w:rsid w:val="00EA60E3"/>
  </w:style>
  <w:style w:type="character" w:styleId="PlaceholderText">
    <w:name w:val="Placeholder Text"/>
    <w:basedOn w:val="DefaultParagraphFont"/>
    <w:uiPriority w:val="99"/>
    <w:semiHidden/>
    <w:rsid w:val="00EA60E3"/>
    <w:rPr>
      <w:color w:val="808080"/>
    </w:rPr>
  </w:style>
  <w:style w:type="table" w:styleId="TableGrid">
    <w:name w:val="Table Grid"/>
    <w:basedOn w:val="TableNormal"/>
    <w:uiPriority w:val="39"/>
    <w:rsid w:val="0075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elChar"/>
    <w:uiPriority w:val="10"/>
    <w:qFormat/>
    <w:rsid w:val="00E4049A"/>
    <w:pPr>
      <w:spacing w:after="0"/>
      <w:contextualSpacing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itelChar">
    <w:name w:val="Titel Char"/>
    <w:basedOn w:val="DefaultParagraphFont"/>
    <w:link w:val="Title"/>
    <w:uiPriority w:val="10"/>
    <w:rsid w:val="00E4049A"/>
    <w:rPr>
      <w:rFonts w:ascii="Arial" w:hAnsi="Arial" w:eastAsiaTheme="majorEastAsia" w:cstheme="majorBidi"/>
      <w:b/>
      <w:caps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4B5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NoSpacing">
    <w:name w:val="No Spacing"/>
    <w:aliases w:val="zitting van"/>
    <w:uiPriority w:val="1"/>
    <w:qFormat/>
    <w:rsid w:val="00907BC7"/>
    <w:pPr>
      <w:spacing w:after="0" w:line="240" w:lineRule="auto"/>
    </w:pPr>
    <w:rPr>
      <w:rFonts w:ascii="Arial" w:hAnsi="Arial"/>
      <w:sz w:val="24"/>
    </w:rPr>
  </w:style>
  <w:style w:type="character" w:styleId="BookTitle">
    <w:name w:val="Book Title"/>
    <w:basedOn w:val="DefaultParagraphFont"/>
    <w:uiPriority w:val="33"/>
    <w:qFormat/>
    <w:rsid w:val="008825F4"/>
    <w:rPr>
      <w:rFonts w:ascii="Arial" w:hAnsi="Arial"/>
      <w:b/>
      <w:bCs/>
      <w:i w:val="0"/>
      <w:iCs/>
      <w:caps/>
      <w:smallCaps w:val="0"/>
      <w:spacing w:val="5"/>
      <w:sz w:val="24"/>
    </w:rPr>
  </w:style>
  <w:style w:type="character" w:customStyle="1" w:styleId="Kop1Char">
    <w:name w:val="Kop 1 Char"/>
    <w:basedOn w:val="DefaultParagraphFont"/>
    <w:link w:val="Heading1"/>
    <w:uiPriority w:val="9"/>
    <w:rsid w:val="00E96BD2"/>
    <w:rPr>
      <w:rFonts w:ascii="Arial" w:hAnsi="Arial" w:eastAsiaTheme="majorEastAsia" w:cstheme="majorBidi"/>
      <w:b/>
      <w:sz w:val="28"/>
      <w:szCs w:val="32"/>
    </w:rPr>
  </w:style>
  <w:style w:type="table" w:customStyle="1" w:styleId="say-table">
    <w:name w:val="say-table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12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5.xml"/><Relationship Id="rId1" Type="http://schemas.openxmlformats.org/officeDocument/2006/relationships/settings" Target="settings.xml"/><Relationship Id="rId11" Type="http://schemas.openxmlformats.org/officeDocument/2006/relationships/footer" Target="footer3.xml"/><Relationship Id="rId6" Type="http://schemas.openxmlformats.org/officeDocument/2006/relationships/header" Target="header1.xml"/><Relationship Id="rId5" Type="http://schemas.openxmlformats.org/officeDocument/2006/relationships/customXml" Target="../customXml/item2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customXml" Target="../customXml/item1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C1301BA7BBC4EB1D51F844F8DD9FA" ma:contentTypeVersion="18" ma:contentTypeDescription="Een nieuw document maken." ma:contentTypeScope="" ma:versionID="2b08afdf6cae0f46abe34cf5004ad0d9">
  <xsd:schema xmlns:xsd="http://www.w3.org/2001/XMLSchema" xmlns:xs="http://www.w3.org/2001/XMLSchema" xmlns:p="http://schemas.microsoft.com/office/2006/metadata/properties" xmlns:ns2="593a63c5-4ce6-4281-bc35-d449f8fc1f89" xmlns:ns3="35e6295f-e0cb-4d6f-89dc-d5ba8eab85a9" targetNamespace="http://schemas.microsoft.com/office/2006/metadata/properties" ma:root="true" ma:fieldsID="dfceec628fd78d2e1fe0df4f0680bb56" ns2:_="" ns3:_="">
    <xsd:import namespace="593a63c5-4ce6-4281-bc35-d449f8fc1f89"/>
    <xsd:import namespace="35e6295f-e0cb-4d6f-89dc-d5ba8eab8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63c5-4ce6-4281-bc35-d449f8fc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543581e-0b94-4758-8292-7d6042a84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295f-e0cb-4d6f-89dc-d5ba8eab8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0990f3-14e2-47eb-a0b0-421e24c78647}" ma:internalName="TaxCatchAll" ma:showField="CatchAllData" ma:web="35e6295f-e0cb-4d6f-89dc-d5ba8eab8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a63c5-4ce6-4281-bc35-d449f8fc1f89">
      <Terms xmlns="http://schemas.microsoft.com/office/infopath/2007/PartnerControls"/>
    </lcf76f155ced4ddcb4097134ff3c332f>
    <TaxCatchAll xmlns="35e6295f-e0cb-4d6f-89dc-d5ba8eab85a9" xsi:nil="true"/>
  </documentManagement>
</p:properties>
</file>

<file path=customXml/itemProps1.xml><?xml version="1.0" encoding="utf-8"?>
<ds:datastoreItem xmlns:ds="http://schemas.openxmlformats.org/officeDocument/2006/customXml" ds:itemID="{D5ED4134-1E78-4FA4-A95A-390F7861F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4802C-29F2-437D-80F2-47ED8C716217}">
  <ds:schemaRefs>
    <ds:schemaRef ds:uri="http://www.w3.org/2001/XMLSchema"/>
    <ds:schemaRef ds:uri="http://schemas.invenso.com/xbi/doc/TemplateResources.xsd"/>
  </ds:schemaRefs>
</ds:datastoreItem>
</file>

<file path=customXml/itemProps3.xml><?xml version="1.0" encoding="utf-8"?>
<ds:datastoreItem xmlns:ds="http://schemas.openxmlformats.org/officeDocument/2006/customXml" ds:itemID="{CBA81F84-DF55-46F1-9F39-1EE93857F560}"/>
</file>

<file path=customXml/itemProps4.xml><?xml version="1.0" encoding="utf-8"?>
<ds:datastoreItem xmlns:ds="http://schemas.openxmlformats.org/officeDocument/2006/customXml" ds:itemID="{00C6D79F-BD91-476D-9403-013ED87D069A}"/>
</file>

<file path=customXml/itemProps5.xml><?xml version="1.0" encoding="utf-8"?>
<ds:datastoreItem xmlns:ds="http://schemas.openxmlformats.org/officeDocument/2006/customXml" ds:itemID="{2BDD922A-95DE-4321-8330-FA43353E5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Jonckheere</dc:creator>
  <cp:lastModifiedBy>Shana Jonckheere</cp:lastModifiedBy>
  <cp:revision>279</cp:revision>
  <dcterms:created xsi:type="dcterms:W3CDTF">2025-06-27T05:24:01Z</dcterms:created>
  <dcterms:modified xsi:type="dcterms:W3CDTF">2025-06-27T05:24:01Z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0x010100406C1301BA7BBC4EB1D51F844F8DD9FA</vt:lpwstr>
  </property>
</Properties>
</file>