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Gemeenteraad</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16 december 2025</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Vaststelling politiebegroting 2026</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Zelderloo Walter</w:t>
      </w:r>
      <w:r>
        <w:t xml:space="preserve">, </w:t>
      </w:r>
      <w:r>
        <w:t>De Schryver Reindert</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Vanderoost Jef</w:t>
      </w:r>
      <w:r>
        <w:t xml:space="preserve">, </w:t>
      </w:r>
      <w:r>
        <w:t>Nijs Marianne</w:t>
      </w:r>
      <w:r>
        <w:t xml:space="preserve">, </w:t>
      </w:r>
      <w:r>
        <w:t>De Buyst Véronique</w:t>
      </w:r>
      <w:r>
        <w:t xml:space="preserve">, </w:t>
      </w:r>
      <w:r>
        <w:t>Mus Niki</w:t>
      </w:r>
      <w:r>
        <w:t xml:space="preserve">, </w:t>
      </w:r>
      <w:r>
        <w:t>Vergels Driss</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Clement Louis</w:t>
      </w:r>
      <w:r>
        <w:t xml:space="preserve">, </w:t>
      </w:r>
      <w:r>
        <w:t>hoffmans Nathalie</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De Dobbeleer Frank</w:t>
      </w:r>
      <w:r>
        <w:t xml:space="preserve">, </w:t>
      </w:r>
      <w:r>
        <w:t>Willen Marc</w:t>
      </w:r>
      <w:r>
        <w:t xml:space="preserve">, </w:t>
      </w:r>
      <w:r>
        <w:t>Erkelbout Jan</w:t>
      </w:r>
      <w:r>
        <w:t xml:space="preserve">, </w:t>
      </w:r>
      <w:r>
        <w:t>Van Hove Diane</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lang w:val="nl-BE" w:eastAsia="nl-BE"/>
        </w:rPr>
        <w:t>De regelgeving bepaalt dat jaarlijks de begroting voor de lokale politiezone wordt vastgesteld door de gemeenteraad. De begroting van de politiezone 2026 past binnen de vastgestelde meerjarenplanning 2026-2031 van het lokaal bestuur.</w:t>
      </w:r>
      <w:r>
        <w:rPr>
          <w:lang w:val="nl-BE" w:eastAsia="nl-BE"/>
        </w:rPr>
        <w:br/>
      </w:r>
      <w:r>
        <w:rPr>
          <w:lang w:val="nl-BE" w:eastAsia="nl-BE"/>
        </w:rPr>
        <w:t xml:space="preserve">Bij de opmaak en afwerking van de politiebegroting 2026 werd rekening gehouden met het ontwerp van omzendbrief met de begrotingsonderrichtingen. </w:t>
      </w:r>
    </w:p>
    <w:p w:rsidR="00E535F5" w:rsidRPr="00CF488B" w:rsidP="00E535F5" w14:paraId="129799EE" w14:textId="77777777">
      <w:pPr>
        <w:spacing w:before="240" w:line="276" w:lineRule="auto"/>
        <w:rPr>
          <w:b/>
          <w:sz w:val="22"/>
        </w:rPr>
      </w:pPr>
      <w:r w:rsidRPr="00CF488B">
        <w:rPr>
          <w:b/>
          <w:sz w:val="22"/>
        </w:rPr>
        <w:t>Juridisch kader</w:t>
      </w:r>
    </w:p>
    <w:p w:rsidR="00A77B3E">
      <w:pPr>
        <w:numPr>
          <w:ilvl w:val="0"/>
          <w:numId w:val="1"/>
        </w:numPr>
        <w:ind w:left="720" w:hanging="360"/>
        <w:jc w:val="left"/>
        <w:rPr>
          <w:lang w:val="nl-BE" w:eastAsia="nl-BE"/>
        </w:rPr>
      </w:pPr>
      <w:r>
        <w:rPr>
          <w:lang w:val="nl-BE" w:eastAsia="nl-BE"/>
        </w:rPr>
        <w:t>Wet van 07.12.1998: organisatie van een geïntegreerde politiedienst, gestructureerd op twee niveaus</w:t>
      </w:r>
    </w:p>
    <w:p w:rsidR="00A77B3E">
      <w:pPr>
        <w:numPr>
          <w:ilvl w:val="0"/>
          <w:numId w:val="1"/>
        </w:numPr>
        <w:ind w:left="720" w:hanging="360"/>
        <w:jc w:val="left"/>
        <w:rPr>
          <w:lang w:val="nl-BE" w:eastAsia="nl-BE"/>
        </w:rPr>
      </w:pPr>
      <w:r>
        <w:rPr>
          <w:lang w:val="nl-BE" w:eastAsia="nl-BE"/>
        </w:rPr>
        <w:t>KB 05.09.2001: algemeen reglement op de boekhouding van de lokale politie</w:t>
      </w:r>
    </w:p>
    <w:p w:rsidR="00A77B3E">
      <w:pPr>
        <w:numPr>
          <w:ilvl w:val="0"/>
          <w:numId w:val="1"/>
        </w:numPr>
        <w:ind w:left="720" w:hanging="360"/>
        <w:jc w:val="left"/>
        <w:rPr>
          <w:lang w:val="nl-BE" w:eastAsia="nl-BE"/>
        </w:rPr>
      </w:pPr>
      <w:r>
        <w:rPr>
          <w:lang w:val="nl-BE" w:eastAsia="nl-BE"/>
        </w:rPr>
        <w:t>Nieuwe Gemeentewet 24.06.1988</w:t>
      </w:r>
    </w:p>
    <w:p w:rsidR="00A77B3E">
      <w:pPr>
        <w:numPr>
          <w:ilvl w:val="0"/>
          <w:numId w:val="1"/>
        </w:numPr>
        <w:ind w:left="720" w:hanging="360"/>
        <w:jc w:val="left"/>
        <w:rPr>
          <w:lang w:val="nl-BE" w:eastAsia="nl-BE"/>
        </w:rPr>
      </w:pPr>
      <w:r>
        <w:rPr>
          <w:lang w:val="nl-BE" w:eastAsia="nl-BE"/>
        </w:rPr>
        <w:t xml:space="preserve">Ontwerp van omzendbrief PLP 2025/67 </w:t>
      </w:r>
    </w:p>
    <w:p w:rsidR="00A77B3E">
      <w:pPr>
        <w:numPr>
          <w:ilvl w:val="0"/>
          <w:numId w:val="1"/>
        </w:numPr>
        <w:ind w:left="720" w:hanging="360"/>
        <w:jc w:val="left"/>
        <w:rPr>
          <w:lang w:val="nl-BE" w:eastAsia="nl-BE"/>
        </w:rPr>
      </w:pPr>
      <w:r>
        <w:rPr>
          <w:lang w:val="nl-BE" w:eastAsia="nl-BE"/>
        </w:rPr>
        <w:t>Het advies van de financiële commissie</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stemming</w:t>
      </w:r>
    </w:p>
    <w:p w:rsidR="00AC25A8" w:rsidRPr="009F2FEA" w:rsidP="00AC25A8" w14:paraId="0F5BAA80" w14:textId="77777777">
      <w:pPr>
        <w:spacing w:line="276" w:lineRule="auto"/>
        <w:rPr>
          <w:bCs/>
          <w:sz w:val="18"/>
          <w:szCs w:val="20"/>
          <w:lang w:val="en-US"/>
        </w:rPr>
      </w:pPr>
      <w:r w:rsidRPr="009F2FEA">
        <w:rPr>
          <w:bCs/>
          <w:sz w:val="18"/>
          <w:szCs w:val="20"/>
          <w:lang w:val="en-US"/>
        </w:rPr>
        <w:t>21</w:t>
      </w:r>
      <w:r w:rsidRPr="009F2FEA">
        <w:rPr>
          <w:bCs/>
          <w:sz w:val="18"/>
          <w:szCs w:val="20"/>
          <w:lang w:val="en-US"/>
        </w:rPr>
        <w:t xml:space="preserve"> ja: </w:t>
      </w:r>
      <w:r w:rsidRPr="009F2FEA">
        <w:rPr>
          <w:bCs/>
          <w:sz w:val="18"/>
          <w:szCs w:val="20"/>
          <w:lang w:val="en-US"/>
        </w:rPr>
        <w:t>De Freyne David</w:t>
      </w:r>
      <w:r w:rsidRPr="009F2FEA">
        <w:rPr>
          <w:bCs/>
          <w:sz w:val="18"/>
          <w:szCs w:val="20"/>
          <w:lang w:val="en-US"/>
        </w:rPr>
        <w:t xml:space="preserve">, </w:t>
      </w:r>
      <w:r w:rsidRPr="009F2FEA">
        <w:rPr>
          <w:bCs/>
          <w:sz w:val="18"/>
          <w:szCs w:val="20"/>
          <w:lang w:val="en-US"/>
        </w:rPr>
        <w:t>Deleu Tinneke</w:t>
      </w:r>
      <w:r w:rsidRPr="009F2FEA">
        <w:rPr>
          <w:bCs/>
          <w:sz w:val="18"/>
          <w:szCs w:val="20"/>
          <w:lang w:val="en-US"/>
        </w:rPr>
        <w:t xml:space="preserve">, </w:t>
      </w:r>
      <w:r w:rsidRPr="009F2FEA">
        <w:rPr>
          <w:bCs/>
          <w:sz w:val="18"/>
          <w:szCs w:val="20"/>
          <w:lang w:val="en-US"/>
        </w:rPr>
        <w:t>De Buyst Véronique</w:t>
      </w:r>
      <w:r w:rsidRPr="009F2FEA">
        <w:rPr>
          <w:bCs/>
          <w:sz w:val="18"/>
          <w:szCs w:val="20"/>
          <w:lang w:val="en-US"/>
        </w:rPr>
        <w:t xml:space="preserve">, </w:t>
      </w:r>
      <w:r w:rsidRPr="009F2FEA">
        <w:rPr>
          <w:bCs/>
          <w:sz w:val="18"/>
          <w:szCs w:val="20"/>
          <w:lang w:val="en-US"/>
        </w:rPr>
        <w:t>Erkelbout Jan</w:t>
      </w:r>
      <w:r w:rsidRPr="009F2FEA">
        <w:rPr>
          <w:bCs/>
          <w:sz w:val="18"/>
          <w:szCs w:val="20"/>
          <w:lang w:val="en-US"/>
        </w:rPr>
        <w:t xml:space="preserve">, </w:t>
      </w:r>
      <w:r w:rsidRPr="009F2FEA">
        <w:rPr>
          <w:bCs/>
          <w:sz w:val="18"/>
          <w:szCs w:val="20"/>
          <w:lang w:val="en-US"/>
        </w:rPr>
        <w:t>Nevens Bart</w:t>
      </w:r>
      <w:r w:rsidRPr="009F2FEA">
        <w:rPr>
          <w:bCs/>
          <w:sz w:val="18"/>
          <w:szCs w:val="20"/>
          <w:lang w:val="en-US"/>
        </w:rPr>
        <w:t xml:space="preserve">, </w:t>
      </w:r>
      <w:r w:rsidRPr="009F2FEA">
        <w:rPr>
          <w:bCs/>
          <w:sz w:val="18"/>
          <w:szCs w:val="20"/>
          <w:lang w:val="en-US"/>
        </w:rPr>
        <w:t>Liekens Goedele</w:t>
      </w:r>
      <w:r w:rsidRPr="009F2FEA">
        <w:rPr>
          <w:bCs/>
          <w:sz w:val="18"/>
          <w:szCs w:val="20"/>
          <w:lang w:val="en-US"/>
        </w:rPr>
        <w:t xml:space="preserve">, </w:t>
      </w:r>
      <w:r w:rsidRPr="009F2FEA">
        <w:rPr>
          <w:bCs/>
          <w:sz w:val="18"/>
          <w:szCs w:val="20"/>
          <w:lang w:val="en-US"/>
        </w:rPr>
        <w:t>Janssens Linda</w:t>
      </w:r>
      <w:r w:rsidRPr="009F2FEA">
        <w:rPr>
          <w:bCs/>
          <w:sz w:val="18"/>
          <w:szCs w:val="20"/>
          <w:lang w:val="en-US"/>
        </w:rPr>
        <w:t xml:space="preserve">, </w:t>
      </w:r>
      <w:r w:rsidRPr="009F2FEA">
        <w:rPr>
          <w:bCs/>
          <w:sz w:val="18"/>
          <w:szCs w:val="20"/>
          <w:lang w:val="en-US"/>
        </w:rPr>
        <w:t>Quaghebeur Stijn</w:t>
      </w:r>
      <w:r w:rsidRPr="009F2FEA">
        <w:rPr>
          <w:bCs/>
          <w:sz w:val="18"/>
          <w:szCs w:val="20"/>
          <w:lang w:val="en-US"/>
        </w:rPr>
        <w:t xml:space="preserve">, </w:t>
      </w:r>
      <w:r w:rsidRPr="009F2FEA">
        <w:rPr>
          <w:bCs/>
          <w:sz w:val="18"/>
          <w:szCs w:val="20"/>
          <w:lang w:val="en-US"/>
        </w:rPr>
        <w:t>Walravens Jef</w:t>
      </w:r>
      <w:r w:rsidRPr="009F2FEA">
        <w:rPr>
          <w:bCs/>
          <w:sz w:val="18"/>
          <w:szCs w:val="20"/>
          <w:lang w:val="en-US"/>
        </w:rPr>
        <w:t xml:space="preserve">, </w:t>
      </w:r>
      <w:r w:rsidRPr="009F2FEA">
        <w:rPr>
          <w:bCs/>
          <w:sz w:val="18"/>
          <w:szCs w:val="20"/>
          <w:lang w:val="en-US"/>
        </w:rPr>
        <w:t>De Ridder Dries</w:t>
      </w:r>
      <w:r w:rsidRPr="009F2FEA">
        <w:rPr>
          <w:bCs/>
          <w:sz w:val="18"/>
          <w:szCs w:val="20"/>
          <w:lang w:val="en-US"/>
        </w:rPr>
        <w:t xml:space="preserve">, </w:t>
      </w:r>
      <w:r w:rsidRPr="009F2FEA">
        <w:rPr>
          <w:bCs/>
          <w:sz w:val="18"/>
          <w:szCs w:val="20"/>
          <w:lang w:val="en-US"/>
        </w:rPr>
        <w:t>Vanhee Fré</w:t>
      </w:r>
      <w:r w:rsidRPr="009F2FEA">
        <w:rPr>
          <w:bCs/>
          <w:sz w:val="18"/>
          <w:szCs w:val="20"/>
          <w:lang w:val="en-US"/>
        </w:rPr>
        <w:t xml:space="preserve">, </w:t>
      </w:r>
      <w:r w:rsidRPr="009F2FEA">
        <w:rPr>
          <w:bCs/>
          <w:sz w:val="18"/>
          <w:szCs w:val="20"/>
          <w:lang w:val="en-US"/>
        </w:rPr>
        <w:t>Rons Alexis</w:t>
      </w:r>
      <w:r w:rsidRPr="009F2FEA">
        <w:rPr>
          <w:bCs/>
          <w:sz w:val="18"/>
          <w:szCs w:val="20"/>
          <w:lang w:val="en-US"/>
        </w:rPr>
        <w:t xml:space="preserve">, </w:t>
      </w:r>
      <w:r w:rsidRPr="009F2FEA">
        <w:rPr>
          <w:bCs/>
          <w:sz w:val="18"/>
          <w:szCs w:val="20"/>
          <w:lang w:val="en-US"/>
        </w:rPr>
        <w:t>Seyns Valérie</w:t>
      </w:r>
      <w:r w:rsidRPr="009F2FEA">
        <w:rPr>
          <w:bCs/>
          <w:sz w:val="18"/>
          <w:szCs w:val="20"/>
          <w:lang w:val="en-US"/>
        </w:rPr>
        <w:t xml:space="preserve">, </w:t>
      </w:r>
      <w:r w:rsidRPr="009F2FEA">
        <w:rPr>
          <w:bCs/>
          <w:sz w:val="18"/>
          <w:szCs w:val="20"/>
          <w:lang w:val="en-US"/>
        </w:rPr>
        <w:t>De Dobbeleer Frank</w:t>
      </w:r>
      <w:r w:rsidRPr="009F2FEA">
        <w:rPr>
          <w:bCs/>
          <w:sz w:val="18"/>
          <w:szCs w:val="20"/>
          <w:lang w:val="en-US"/>
        </w:rPr>
        <w:t xml:space="preserve">, </w:t>
      </w:r>
      <w:r w:rsidRPr="009F2FEA">
        <w:rPr>
          <w:bCs/>
          <w:sz w:val="18"/>
          <w:szCs w:val="20"/>
          <w:lang w:val="en-US"/>
        </w:rPr>
        <w:t>Zelderloo Walter</w:t>
      </w:r>
      <w:r w:rsidRPr="009F2FEA">
        <w:rPr>
          <w:bCs/>
          <w:sz w:val="18"/>
          <w:szCs w:val="20"/>
          <w:lang w:val="en-US"/>
        </w:rPr>
        <w:t xml:space="preserve">, </w:t>
      </w:r>
      <w:r w:rsidRPr="009F2FEA">
        <w:rPr>
          <w:bCs/>
          <w:sz w:val="18"/>
          <w:szCs w:val="20"/>
          <w:lang w:val="en-US"/>
        </w:rPr>
        <w:t>Gins Brigitte</w:t>
      </w:r>
      <w:r w:rsidRPr="009F2FEA">
        <w:rPr>
          <w:bCs/>
          <w:sz w:val="18"/>
          <w:szCs w:val="20"/>
          <w:lang w:val="en-US"/>
        </w:rPr>
        <w:t xml:space="preserve">, </w:t>
      </w:r>
      <w:r w:rsidRPr="009F2FEA">
        <w:rPr>
          <w:bCs/>
          <w:sz w:val="18"/>
          <w:szCs w:val="20"/>
          <w:lang w:val="en-US"/>
        </w:rPr>
        <w:t>Van Hove Diane</w:t>
      </w:r>
      <w:r w:rsidRPr="009F2FEA">
        <w:rPr>
          <w:bCs/>
          <w:sz w:val="18"/>
          <w:szCs w:val="20"/>
          <w:lang w:val="en-US"/>
        </w:rPr>
        <w:t xml:space="preserve">, </w:t>
      </w:r>
      <w:r w:rsidRPr="009F2FEA">
        <w:rPr>
          <w:bCs/>
          <w:sz w:val="18"/>
          <w:szCs w:val="20"/>
          <w:lang w:val="en-US"/>
        </w:rPr>
        <w:t>De Win Harry</w:t>
      </w:r>
      <w:r w:rsidRPr="009F2FEA">
        <w:rPr>
          <w:bCs/>
          <w:sz w:val="18"/>
          <w:szCs w:val="20"/>
          <w:lang w:val="en-US"/>
        </w:rPr>
        <w:t xml:space="preserve">, </w:t>
      </w:r>
      <w:r w:rsidRPr="009F2FEA">
        <w:rPr>
          <w:bCs/>
          <w:sz w:val="18"/>
          <w:szCs w:val="20"/>
          <w:lang w:val="en-US"/>
        </w:rPr>
        <w:t>Van den Houte Anneleen</w:t>
      </w:r>
      <w:r w:rsidRPr="009F2FEA">
        <w:rPr>
          <w:bCs/>
          <w:sz w:val="18"/>
          <w:szCs w:val="20"/>
          <w:lang w:val="en-US"/>
        </w:rPr>
        <w:t xml:space="preserve">, </w:t>
      </w:r>
      <w:r w:rsidRPr="009F2FEA">
        <w:rPr>
          <w:bCs/>
          <w:sz w:val="18"/>
          <w:szCs w:val="20"/>
          <w:lang w:val="en-US"/>
        </w:rPr>
        <w:t>Willen Marc</w:t>
      </w:r>
      <w:r w:rsidRPr="009F2FEA">
        <w:rPr>
          <w:bCs/>
          <w:sz w:val="18"/>
          <w:szCs w:val="20"/>
          <w:lang w:val="en-US"/>
        </w:rPr>
        <w:t xml:space="preserve">, </w:t>
      </w:r>
      <w:r w:rsidRPr="009F2FEA">
        <w:rPr>
          <w:bCs/>
          <w:sz w:val="18"/>
          <w:szCs w:val="20"/>
          <w:lang w:val="en-US"/>
        </w:rPr>
        <w:t>hoffmans Nathalie</w:t>
      </w:r>
      <w:r w:rsidRPr="009F2FEA">
        <w:rPr>
          <w:bCs/>
          <w:sz w:val="18"/>
          <w:szCs w:val="20"/>
          <w:lang w:val="en-US"/>
        </w:rPr>
        <w:t xml:space="preserve">, </w:t>
      </w:r>
    </w:p>
    <w:p w:rsidR="00AC25A8" w:rsidRPr="00AC25A8" w:rsidP="00AC25A8" w14:paraId="44C9A6EC" w14:textId="77777777">
      <w:pPr>
        <w:spacing w:line="276" w:lineRule="auto"/>
        <w:rPr>
          <w:bCs/>
          <w:sz w:val="18"/>
          <w:szCs w:val="20"/>
          <w:lang w:val="en-US"/>
        </w:rPr>
      </w:pPr>
      <w:r w:rsidRPr="00AC25A8">
        <w:rPr>
          <w:bCs/>
          <w:sz w:val="18"/>
          <w:szCs w:val="20"/>
          <w:lang w:val="en-US"/>
        </w:rPr>
        <w:t>11</w:t>
      </w:r>
      <w:r w:rsidRPr="00AC25A8">
        <w:rPr>
          <w:bCs/>
          <w:sz w:val="18"/>
          <w:szCs w:val="20"/>
          <w:lang w:val="en-US"/>
        </w:rPr>
        <w:t xml:space="preserve"> </w:t>
      </w:r>
      <w:r w:rsidRPr="00AC25A8">
        <w:rPr>
          <w:bCs/>
          <w:sz w:val="18"/>
          <w:szCs w:val="20"/>
          <w:lang w:val="en-US"/>
        </w:rPr>
        <w:t>onthoudingen</w:t>
      </w:r>
      <w:r w:rsidRPr="00AC25A8">
        <w:rPr>
          <w:bCs/>
          <w:sz w:val="18"/>
          <w:szCs w:val="20"/>
          <w:lang w:val="en-US"/>
        </w:rPr>
        <w:t xml:space="preserve">: </w:t>
      </w:r>
      <w:r w:rsidRPr="00AC25A8">
        <w:rPr>
          <w:bCs/>
          <w:sz w:val="18"/>
          <w:szCs w:val="20"/>
          <w:lang w:val="en-US"/>
        </w:rPr>
        <w:t>Vereecke Liesbet</w:t>
      </w:r>
      <w:r w:rsidRPr="00AC25A8">
        <w:rPr>
          <w:bCs/>
          <w:sz w:val="18"/>
          <w:szCs w:val="20"/>
          <w:lang w:val="en-US"/>
        </w:rPr>
        <w:t xml:space="preserve">, </w:t>
      </w:r>
      <w:r w:rsidRPr="00AC25A8">
        <w:rPr>
          <w:bCs/>
          <w:sz w:val="18"/>
          <w:szCs w:val="20"/>
          <w:lang w:val="en-US"/>
        </w:rPr>
        <w:t>Vanderoost Jef</w:t>
      </w:r>
      <w:r w:rsidRPr="00AC25A8">
        <w:rPr>
          <w:bCs/>
          <w:sz w:val="18"/>
          <w:szCs w:val="20"/>
          <w:lang w:val="en-US"/>
        </w:rPr>
        <w:t xml:space="preserve">, </w:t>
      </w:r>
      <w:r w:rsidRPr="00AC25A8">
        <w:rPr>
          <w:bCs/>
          <w:sz w:val="18"/>
          <w:szCs w:val="20"/>
          <w:lang w:val="en-US"/>
        </w:rPr>
        <w:t>Clement Louis</w:t>
      </w:r>
      <w:r w:rsidRPr="00AC25A8">
        <w:rPr>
          <w:bCs/>
          <w:sz w:val="18"/>
          <w:szCs w:val="20"/>
          <w:lang w:val="en-US"/>
        </w:rPr>
        <w:t xml:space="preserve">, </w:t>
      </w:r>
      <w:r w:rsidRPr="00AC25A8">
        <w:rPr>
          <w:bCs/>
          <w:sz w:val="18"/>
          <w:szCs w:val="20"/>
          <w:lang w:val="en-US"/>
        </w:rPr>
        <w:t>De Jonge Jasper</w:t>
      </w:r>
      <w:r w:rsidRPr="00AC25A8">
        <w:rPr>
          <w:bCs/>
          <w:sz w:val="18"/>
          <w:szCs w:val="20"/>
          <w:lang w:val="en-US"/>
        </w:rPr>
        <w:t xml:space="preserve">, </w:t>
      </w:r>
      <w:r w:rsidRPr="00AC25A8">
        <w:rPr>
          <w:bCs/>
          <w:sz w:val="18"/>
          <w:szCs w:val="20"/>
          <w:lang w:val="en-US"/>
        </w:rPr>
        <w:t>Roesems Gino</w:t>
      </w:r>
      <w:r w:rsidRPr="00AC25A8">
        <w:rPr>
          <w:bCs/>
          <w:sz w:val="18"/>
          <w:szCs w:val="20"/>
          <w:lang w:val="en-US"/>
        </w:rPr>
        <w:t xml:space="preserve">, </w:t>
      </w:r>
      <w:r w:rsidRPr="00AC25A8">
        <w:rPr>
          <w:bCs/>
          <w:sz w:val="18"/>
          <w:szCs w:val="20"/>
          <w:lang w:val="en-US"/>
        </w:rPr>
        <w:t>Mus Niki</w:t>
      </w:r>
      <w:r w:rsidRPr="00AC25A8">
        <w:rPr>
          <w:bCs/>
          <w:sz w:val="18"/>
          <w:szCs w:val="20"/>
          <w:lang w:val="en-US"/>
        </w:rPr>
        <w:t xml:space="preserve">, </w:t>
      </w:r>
      <w:r w:rsidRPr="00AC25A8">
        <w:rPr>
          <w:bCs/>
          <w:sz w:val="18"/>
          <w:szCs w:val="20"/>
          <w:lang w:val="en-US"/>
        </w:rPr>
        <w:t>Merckx Lean</w:t>
      </w:r>
      <w:r w:rsidRPr="00AC25A8">
        <w:rPr>
          <w:bCs/>
          <w:sz w:val="18"/>
          <w:szCs w:val="20"/>
          <w:lang w:val="en-US"/>
        </w:rPr>
        <w:t xml:space="preserve">, </w:t>
      </w:r>
      <w:r w:rsidRPr="00AC25A8">
        <w:rPr>
          <w:bCs/>
          <w:sz w:val="18"/>
          <w:szCs w:val="20"/>
          <w:lang w:val="en-US"/>
        </w:rPr>
        <w:t>Vergels Driss</w:t>
      </w:r>
      <w:r w:rsidRPr="00AC25A8">
        <w:rPr>
          <w:bCs/>
          <w:sz w:val="18"/>
          <w:szCs w:val="20"/>
          <w:lang w:val="en-US"/>
        </w:rPr>
        <w:t xml:space="preserve">, </w:t>
      </w:r>
      <w:r w:rsidRPr="00AC25A8">
        <w:rPr>
          <w:bCs/>
          <w:sz w:val="18"/>
          <w:szCs w:val="20"/>
          <w:lang w:val="en-US"/>
        </w:rPr>
        <w:t>Groenweghe Nele</w:t>
      </w:r>
      <w:r w:rsidRPr="00AC25A8">
        <w:rPr>
          <w:bCs/>
          <w:sz w:val="18"/>
          <w:szCs w:val="20"/>
          <w:lang w:val="en-US"/>
        </w:rPr>
        <w:t xml:space="preserve">, </w:t>
      </w:r>
      <w:r w:rsidRPr="00AC25A8">
        <w:rPr>
          <w:bCs/>
          <w:sz w:val="18"/>
          <w:szCs w:val="20"/>
          <w:lang w:val="en-US"/>
        </w:rPr>
        <w:t>Nijs Marianne</w:t>
      </w:r>
      <w:r w:rsidRPr="00AC25A8">
        <w:rPr>
          <w:bCs/>
          <w:sz w:val="18"/>
          <w:szCs w:val="20"/>
          <w:lang w:val="en-US"/>
        </w:rPr>
        <w:t xml:space="preserve">, </w:t>
      </w:r>
      <w:r w:rsidRPr="00AC25A8">
        <w:rPr>
          <w:bCs/>
          <w:sz w:val="18"/>
          <w:szCs w:val="20"/>
          <w:lang w:val="en-US"/>
        </w:rPr>
        <w:t>De Schryver Reindert</w:t>
      </w:r>
    </w:p>
    <w:p w:rsidR="00A77B3E">
      <w:pPr>
        <w:rPr>
          <w:lang w:val="nl-BE" w:eastAsia="nl-BE"/>
        </w:rPr>
      </w:pPr>
      <w:r>
        <w:rPr>
          <w:rStyle w:val="Strong"/>
          <w:lang w:val="nl-BE" w:eastAsia="nl-BE"/>
        </w:rPr>
        <w:t>Artikel 1. </w:t>
      </w:r>
      <w:r>
        <w:rPr>
          <w:lang w:val="nl-BE" w:eastAsia="nl-BE"/>
        </w:rPr>
        <w:t>De begroting 2026 - gewone dienst - van de lokale politiezone Dilbeek sluit met een gemeentelijke dotatie van € 8.369.653,57 en wordt vastgesteld met volgende cijfers:</w:t>
      </w:r>
      <w:r>
        <w:rPr>
          <w:lang w:val="nl-BE" w:eastAsia="nl-BE"/>
        </w:rPr>
        <w:br/>
      </w:r>
      <w:r>
        <w:rPr>
          <w:lang w:val="nl-BE" w:eastAsia="nl-BE"/>
        </w:rPr>
        <w:br/>
      </w:r>
      <w:r>
        <w:rPr>
          <w:lang w:val="nl-BE" w:eastAsia="nl-BE"/>
        </w:rPr>
        <w:t>​​</w:t>
      </w:r>
    </w:p>
    <w:tbl>
      <w:tblPr>
        <w:tblStyle w:val="say-table"/>
        <w:tblCellSpacing w:w="15" w:type="dxa"/>
        <w:tblInd w:w="15" w:type="dxa"/>
        <w:tblCellMar>
          <w:top w:w="15" w:type="dxa"/>
          <w:left w:w="15" w:type="dxa"/>
          <w:bottom w:w="15" w:type="dxa"/>
          <w:right w:w="15" w:type="dxa"/>
        </w:tblCellMar>
        <w:tblLook w:val="05E0"/>
      </w:tblPr>
      <w:tblGrid>
        <w:gridCol w:w="3444"/>
        <w:gridCol w:w="2243"/>
      </w:tblGrid>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Gewone dienst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eigen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11.672.301.00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eigen DJ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13.268.000,00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vorige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427.291,00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vorige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overboekingen</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overboekingen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73.000.00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Resultaat 2024</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3.112.904,50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alg geraamd begrotingsresultaat 2025</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1.362.591,50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Geraamd begrotingsresultaat 2026</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121.183,50</w:t>
            </w:r>
          </w:p>
        </w:tc>
      </w:tr>
    </w:tbl>
    <w:p w:rsidR="00A77B3E">
      <w:pPr>
        <w:rPr>
          <w:lang w:val="nl-BE" w:eastAsia="nl-BE"/>
        </w:rPr>
      </w:pPr>
      <w:r>
        <w:rPr>
          <w:lang w:val="nl-BE" w:eastAsia="nl-BE"/>
        </w:rPr>
        <w:t> </w:t>
      </w:r>
      <w:r>
        <w:rPr>
          <w:lang w:val="nl-BE" w:eastAsia="nl-BE"/>
        </w:rPr>
        <w:br/>
      </w:r>
    </w:p>
    <w:p w:rsidR="00A77B3E">
      <w:pPr>
        <w:rPr>
          <w:lang w:val="nl-BE" w:eastAsia="nl-BE"/>
        </w:rPr>
      </w:pPr>
      <w:r>
        <w:rPr>
          <w:rStyle w:val="Strong"/>
          <w:lang w:val="nl-BE" w:eastAsia="nl-BE"/>
        </w:rPr>
        <w:t>Artikel 2</w:t>
      </w:r>
      <w:r>
        <w:rPr>
          <w:lang w:val="nl-BE" w:eastAsia="nl-BE"/>
        </w:rPr>
        <w:t>.   De begroting 2026 - buitengewone dienst - van de lokale politiezone Dilbeek sluit met een buitengewone gemeentelijke dotatie van €</w:t>
      </w:r>
      <w:r>
        <w:rPr>
          <w:rStyle w:val="Emphasis"/>
          <w:lang w:val="nl-BE" w:eastAsia="nl-BE"/>
        </w:rPr>
        <w:t xml:space="preserve"> </w:t>
      </w:r>
      <w:r>
        <w:rPr>
          <w:lang w:val="nl-BE" w:eastAsia="nl-BE"/>
        </w:rPr>
        <w:t>410.500  en wordt vastgesteld met volgende cijfers: </w:t>
      </w:r>
      <w:r>
        <w:rPr>
          <w:lang w:val="nl-BE" w:eastAsia="nl-BE"/>
        </w:rPr>
        <w:br/>
      </w:r>
      <w:r>
        <w:rPr>
          <w:lang w:val="nl-BE" w:eastAsia="nl-BE"/>
        </w:rPr>
        <w:t>​</w:t>
      </w:r>
    </w:p>
    <w:tbl>
      <w:tblPr>
        <w:tblStyle w:val="say-table"/>
        <w:tblCellSpacing w:w="15" w:type="dxa"/>
        <w:tblInd w:w="15" w:type="dxa"/>
        <w:tblCellMar>
          <w:top w:w="15" w:type="dxa"/>
          <w:left w:w="15" w:type="dxa"/>
          <w:bottom w:w="15" w:type="dxa"/>
          <w:right w:w="15" w:type="dxa"/>
        </w:tblCellMar>
        <w:tblLook w:val="05E0"/>
      </w:tblPr>
      <w:tblGrid>
        <w:gridCol w:w="3166"/>
        <w:gridCol w:w="1920"/>
      </w:tblGrid>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Buitengewone dienst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eigen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410.500,00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eigen DJ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483.500,00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vorige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vorige DJ</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Ontvangsten overboekingen</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          73.000,000</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Uitgaven overboekingen </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Resultaat 2024</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alg begrotingsresultaat 2025</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r>
        <w:tblPrEx>
          <w:tblInd w:w="15" w:type="dxa"/>
          <w:tblLook w:val="05E0"/>
        </w:tblPrEx>
        <w:tc>
          <w:tcPr>
            <w:noWrap w:val="0"/>
            <w:tcMar>
              <w:top w:w="15" w:type="dxa"/>
              <w:left w:w="15" w:type="dxa"/>
              <w:bottom w:w="15" w:type="dxa"/>
              <w:right w:w="15" w:type="dxa"/>
            </w:tcMar>
            <w:vAlign w:val="center"/>
            <w:hideMark/>
          </w:tcPr>
          <w:p w:rsidR="00A77B3E">
            <w:pPr>
              <w:rPr>
                <w:lang w:val="nl-BE" w:eastAsia="nl-BE"/>
              </w:rPr>
            </w:pPr>
            <w:r>
              <w:rPr>
                <w:lang w:val="nl-BE" w:eastAsia="nl-BE"/>
              </w:rPr>
              <w:t>Geraamd begrotingsresultaat 2026</w:t>
            </w:r>
          </w:p>
        </w:tc>
        <w:tc>
          <w:tcPr>
            <w:noWrap w:val="0"/>
            <w:tcMar>
              <w:top w:w="15" w:type="dxa"/>
              <w:left w:w="15" w:type="dxa"/>
              <w:bottom w:w="15" w:type="dxa"/>
              <w:right w:w="15" w:type="dxa"/>
            </w:tcMar>
            <w:vAlign w:val="center"/>
            <w:hideMark/>
          </w:tcPr>
          <w:p w:rsidR="00A77B3E">
            <w:pPr>
              <w:rPr>
                <w:lang w:val="nl-BE" w:eastAsia="nl-BE"/>
              </w:rPr>
            </w:pPr>
            <w:r>
              <w:rPr>
                <w:lang w:val="nl-BE" w:eastAsia="nl-BE"/>
              </w:rPr>
              <w:t xml:space="preserve"> €                           -   </w:t>
            </w:r>
          </w:p>
        </w:tc>
      </w:tr>
    </w:tbl>
    <w:p w:rsidR="00A77B3E">
      <w:pPr>
        <w:rPr>
          <w:lang w:val="nl-BE" w:eastAsia="nl-BE"/>
        </w:rPr>
      </w:pPr>
      <w:r>
        <w:rPr>
          <w:lang w:val="nl-BE" w:eastAsia="nl-BE"/>
        </w:rPr>
        <w:t>​</w:t>
      </w:r>
    </w:p>
    <w:p w:rsidR="00A77B3E">
      <w:pPr>
        <w:rPr>
          <w:lang w:val="nl-BE" w:eastAsia="nl-BE"/>
        </w:rPr>
      </w:pPr>
      <w:r>
        <w:rPr>
          <w:lang w:val="nl-BE" w:eastAsia="nl-BE"/>
        </w:rPr>
        <w:t>De bevoegdheid voor het vaststellen van de lastvoorwaarden, raming en gunningswijze voor de buitengewone dienst wordt gedelegeerd aan het college van burgemeester en schepenen voor alle opdrachten waarvan het bedrag van de gunning lager is dan € 30.000 exclusief btw.</w:t>
      </w:r>
    </w:p>
    <w:p w:rsidR="00A77B3E">
      <w:pPr>
        <w:rPr>
          <w:lang w:val="nl-BE" w:eastAsia="nl-BE"/>
        </w:rPr>
      </w:pPr>
      <w:r>
        <w:rPr>
          <w:rStyle w:val="Strong"/>
          <w:lang w:val="nl-BE" w:eastAsia="nl-BE"/>
        </w:rPr>
        <w:t>Artikel 3</w:t>
      </w:r>
      <w:r>
        <w:rPr>
          <w:lang w:val="nl-BE" w:eastAsia="nl-BE"/>
        </w:rPr>
        <w:t>. In uitvoering van artikel 34 van de wet op de geïntegreerde politie ligt de begroting ter inzage bij team financiën van de gemeente Dilbeek.</w:t>
      </w:r>
    </w:p>
    <w:p w:rsidR="00A77B3E">
      <w:pPr>
        <w:rPr>
          <w:lang w:val="nl-BE" w:eastAsia="nl-BE"/>
        </w:rPr>
      </w:pPr>
      <w:r>
        <w:rPr>
          <w:rStyle w:val="Strong"/>
          <w:lang w:val="nl-BE" w:eastAsia="nl-BE"/>
        </w:rPr>
        <w:t>Artikel 4</w:t>
      </w:r>
      <w:r>
        <w:rPr>
          <w:lang w:val="nl-BE" w:eastAsia="nl-BE"/>
        </w:rPr>
        <w:t>. Een afschrift van dit besluit wordt, in het kader van het specifiek toezicht, overgemaakt aan de provinciegouverneur van de provincie Vlaams-Brabant.</w:t>
      </w:r>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Gemeenteraad</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2</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2</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2</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 w:type="table" w:customStyle="1" w:styleId="say-table">
    <w:name w:val="say-table"/>
    <w:basedOn w:val="TableNormal"/>
    <w:pPr>
      <w:spacing w:after="0" w:line="240" w:lineRule="auto"/>
    </w:pPr>
    <w:rPr>
      <w:rFonts w:ascii="Times New Roman" w:eastAsia="Times New Roman" w:hAnsi="Times New Roman" w:cs="Times New Roman"/>
      <w:sz w:val="20"/>
      <w:szCs w:val="20"/>
      <w:lang w:val="en-US"/>
    </w:rPr>
    <w:tblPr/>
  </w:style>
  <w:style w:type="character" w:styleId="Emphasis">
    <w:name w:val="Emphasis"/>
    <w:basedOn w:val="DefaultParagraphFont"/>
    <w:qFormat/>
    <w:rsid w:val="00EF7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2.xml"/><Relationship Id="rId15" Type="http://schemas.openxmlformats.org/officeDocument/2006/relationships/customXml" Target="../customXml/item3.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2.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1a1a16533404f3dd4bf68114a328dde5">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4b51483052ffceab70a672b69001b0f2"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C62E78B5-E5D4-4D29-BFE9-00E3A827E187}"/>
</file>

<file path=customXml/itemProps4.xml><?xml version="1.0" encoding="utf-8"?>
<ds:datastoreItem xmlns:ds="http://schemas.openxmlformats.org/officeDocument/2006/customXml" ds:itemID="{850213F4-6DEB-4A83-8FA3-95EE04BCAB6A}"/>
</file>

<file path=customXml/itemProps5.xml><?xml version="1.0" encoding="utf-8"?>
<ds:datastoreItem xmlns:ds="http://schemas.openxmlformats.org/officeDocument/2006/customXml" ds:itemID="{A2EF9F1A-C922-4C4F-ACED-787D38A5EF9A}"/>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2025-12-17T13:32:53Z</dcterms:created>
  <dcterms:modified xsi:type="dcterms:W3CDTF">2025-12-17T13:32:53Z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